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3052659"/>
    <w:bookmarkStart w:id="1" w:name="_GoBack"/>
    <w:bookmarkEnd w:id="1"/>
    <w:p w14:paraId="3F36D6CB" w14:textId="77777777" w:rsidR="004C7E37" w:rsidRPr="004C7E37" w:rsidRDefault="004C7E37" w:rsidP="004C7E37">
      <w:pPr>
        <w:pStyle w:val="Reporttitle"/>
        <w:ind w:left="0"/>
        <w:rPr>
          <w:sz w:val="4"/>
          <w:szCs w:val="52"/>
        </w:rPr>
      </w:pPr>
      <w:r w:rsidRPr="004C7E37">
        <w:rPr>
          <w:sz w:val="44"/>
          <w:szCs w:val="52"/>
        </w:rPr>
        <w:fldChar w:fldCharType="begin"/>
      </w:r>
      <w:r w:rsidRPr="004C7E37">
        <w:rPr>
          <w:sz w:val="44"/>
          <w:szCs w:val="52"/>
        </w:rPr>
        <w:instrText xml:space="preserve"> docproperty Title </w:instrText>
      </w:r>
      <w:r w:rsidRPr="004C7E37">
        <w:rPr>
          <w:sz w:val="44"/>
          <w:szCs w:val="52"/>
        </w:rPr>
        <w:fldChar w:fldCharType="separate"/>
      </w:r>
      <w:r w:rsidRPr="004C7E37">
        <w:rPr>
          <w:sz w:val="44"/>
          <w:szCs w:val="52"/>
        </w:rPr>
        <w:t>Victorian Appendix to the Australian/New Zealand Gaming Machine National Standard</w:t>
      </w:r>
      <w:r w:rsidRPr="004C7E37">
        <w:rPr>
          <w:sz w:val="44"/>
          <w:szCs w:val="52"/>
        </w:rPr>
        <w:fldChar w:fldCharType="end"/>
      </w:r>
    </w:p>
    <w:p w14:paraId="03FF73E1" w14:textId="77777777" w:rsidR="004C7E37" w:rsidRDefault="004C7E37" w:rsidP="004C7E37">
      <w:pPr>
        <w:pStyle w:val="ReportCoverSubheading"/>
      </w:pPr>
      <w:r>
        <w:t>August 2020</w:t>
      </w:r>
    </w:p>
    <w:p w14:paraId="29B86683" w14:textId="03342F19" w:rsidR="004C7E37" w:rsidRPr="004C7E37" w:rsidRDefault="004C7E37" w:rsidP="004C7E37">
      <w:pPr>
        <w:pStyle w:val="ReportCoverSubheading"/>
      </w:pPr>
      <w:r>
        <w:t>Licensing Division</w:t>
      </w:r>
    </w:p>
    <w:p w14:paraId="526E106D" w14:textId="77777777" w:rsidR="004C7E37" w:rsidRDefault="004C7E37" w:rsidP="00BA50D0"/>
    <w:p w14:paraId="35286F22" w14:textId="77777777" w:rsidR="004C7E37" w:rsidRDefault="004C7E37" w:rsidP="00BA50D0"/>
    <w:p w14:paraId="293BABE6" w14:textId="637907AD" w:rsidR="004C7E37" w:rsidRPr="004C7E37" w:rsidRDefault="00C256DF" w:rsidP="00BA50D0">
      <w:pPr>
        <w:rPr>
          <w:color w:val="FFFFFF" w:themeColor="background1"/>
        </w:rPr>
      </w:pPr>
      <w:r w:rsidRPr="004C7E37">
        <w:rPr>
          <w:color w:val="FFFFFF" w:themeColor="background1"/>
        </w:rPr>
        <w:t>TRIM ID:</w:t>
      </w:r>
      <w:r w:rsidR="004C7E37" w:rsidRPr="004C7E37">
        <w:rPr>
          <w:color w:val="FFFFFF" w:themeColor="background1"/>
        </w:rPr>
        <w:t xml:space="preserve"> CD/19/18117</w:t>
      </w:r>
      <w:r w:rsidR="004C7E37" w:rsidRPr="004C7E37">
        <w:rPr>
          <w:color w:val="FFFFFF" w:themeColor="background1"/>
        </w:rPr>
        <w:br/>
        <w:t>Date:</w:t>
      </w:r>
      <w:r w:rsidR="004C7E37" w:rsidRPr="004C7E37">
        <w:rPr>
          <w:color w:val="FFFFFF" w:themeColor="background1"/>
        </w:rPr>
        <w:tab/>
        <w:t>August 2020</w:t>
      </w:r>
      <w:r w:rsidR="004C7E37" w:rsidRPr="004C7E37">
        <w:rPr>
          <w:color w:val="FFFFFF" w:themeColor="background1"/>
        </w:rPr>
        <w:br/>
        <w:t>Version: 2.0</w:t>
      </w:r>
    </w:p>
    <w:p w14:paraId="3246F39E" w14:textId="0B353FE9" w:rsidR="00BA50D0" w:rsidRPr="00BA50D0" w:rsidRDefault="00BA50D0" w:rsidP="00BA50D0">
      <w:pPr>
        <w:sectPr w:rsidR="00BA50D0" w:rsidRPr="00BA50D0" w:rsidSect="004273F2">
          <w:headerReference w:type="default" r:id="rId8"/>
          <w:footerReference w:type="even" r:id="rId9"/>
          <w:footerReference w:type="default" r:id="rId10"/>
          <w:headerReference w:type="first" r:id="rId11"/>
          <w:footerReference w:type="first" r:id="rId12"/>
          <w:type w:val="continuous"/>
          <w:pgSz w:w="11900" w:h="16840"/>
          <w:pgMar w:top="1134" w:right="1134" w:bottom="1701" w:left="1134" w:header="709" w:footer="709" w:gutter="0"/>
          <w:cols w:space="708"/>
          <w:docGrid w:linePitch="360"/>
        </w:sectPr>
      </w:pPr>
    </w:p>
    <w:bookmarkEnd w:id="0"/>
    <w:p w14:paraId="01A30665" w14:textId="7540FAED" w:rsidR="00766334" w:rsidRDefault="00766334" w:rsidP="00766334">
      <w:pPr>
        <w:pStyle w:val="Reporttitle"/>
        <w:ind w:hanging="369"/>
      </w:pPr>
      <w:r>
        <w:lastRenderedPageBreak/>
        <w:t>Contents</w:t>
      </w:r>
    </w:p>
    <w:p w14:paraId="4A57DB78" w14:textId="0AF55AA4" w:rsidR="00766334" w:rsidRDefault="00766334">
      <w:pPr>
        <w:pStyle w:val="TOC2"/>
        <w:tabs>
          <w:tab w:val="left" w:pos="800"/>
          <w:tab w:val="right" w:leader="dot" w:pos="9622"/>
        </w:tabs>
        <w:rPr>
          <w:rFonts w:eastAsiaTheme="minorEastAsia" w:cstheme="minorBidi"/>
          <w:b w:val="0"/>
          <w:bCs w:val="0"/>
          <w:noProof/>
          <w:sz w:val="24"/>
          <w:szCs w:val="24"/>
          <w:lang w:val="en-AU" w:eastAsia="en-GB"/>
        </w:rPr>
      </w:pPr>
      <w:r>
        <w:rPr>
          <w:b w:val="0"/>
          <w:bCs w:val="0"/>
        </w:rPr>
        <w:fldChar w:fldCharType="begin"/>
      </w:r>
      <w:r>
        <w:rPr>
          <w:b w:val="0"/>
          <w:bCs w:val="0"/>
        </w:rPr>
        <w:instrText xml:space="preserve"> TOC \o "1-2" \h \z \t "Numbered H3,3,Draft Heading 1,3" </w:instrText>
      </w:r>
      <w:r>
        <w:rPr>
          <w:b w:val="0"/>
          <w:bCs w:val="0"/>
        </w:rPr>
        <w:fldChar w:fldCharType="separate"/>
      </w:r>
      <w:hyperlink w:anchor="_Toc56425234" w:history="1">
        <w:r w:rsidRPr="00C94FBD">
          <w:rPr>
            <w:rStyle w:val="Hyperlink"/>
            <w:noProof/>
          </w:rPr>
          <w:t>V1</w:t>
        </w:r>
        <w:r>
          <w:rPr>
            <w:rFonts w:eastAsiaTheme="minorEastAsia" w:cstheme="minorBidi"/>
            <w:b w:val="0"/>
            <w:bCs w:val="0"/>
            <w:noProof/>
            <w:sz w:val="24"/>
            <w:szCs w:val="24"/>
            <w:lang w:val="en-AU" w:eastAsia="en-GB"/>
          </w:rPr>
          <w:tab/>
        </w:r>
        <w:r w:rsidRPr="00C94FBD">
          <w:rPr>
            <w:rStyle w:val="Hyperlink"/>
            <w:noProof/>
          </w:rPr>
          <w:t>Introduction</w:t>
        </w:r>
        <w:r>
          <w:rPr>
            <w:noProof/>
            <w:webHidden/>
          </w:rPr>
          <w:tab/>
        </w:r>
        <w:r>
          <w:rPr>
            <w:noProof/>
            <w:webHidden/>
          </w:rPr>
          <w:fldChar w:fldCharType="begin"/>
        </w:r>
        <w:r>
          <w:rPr>
            <w:noProof/>
            <w:webHidden/>
          </w:rPr>
          <w:instrText xml:space="preserve"> PAGEREF _Toc56425234 \h </w:instrText>
        </w:r>
        <w:r>
          <w:rPr>
            <w:noProof/>
            <w:webHidden/>
          </w:rPr>
        </w:r>
        <w:r>
          <w:rPr>
            <w:noProof/>
            <w:webHidden/>
          </w:rPr>
          <w:fldChar w:fldCharType="separate"/>
        </w:r>
        <w:r>
          <w:rPr>
            <w:noProof/>
            <w:webHidden/>
          </w:rPr>
          <w:t>3</w:t>
        </w:r>
        <w:r>
          <w:rPr>
            <w:noProof/>
            <w:webHidden/>
          </w:rPr>
          <w:fldChar w:fldCharType="end"/>
        </w:r>
      </w:hyperlink>
    </w:p>
    <w:p w14:paraId="278B796A" w14:textId="7388788C"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5" w:history="1">
        <w:r w:rsidR="00766334" w:rsidRPr="00C94FBD">
          <w:rPr>
            <w:rStyle w:val="Hyperlink"/>
            <w:noProof/>
            <w:snapToGrid w:val="0"/>
          </w:rPr>
          <w:t>V2</w:t>
        </w:r>
        <w:r w:rsidR="00766334">
          <w:rPr>
            <w:rFonts w:eastAsiaTheme="minorEastAsia" w:cstheme="minorBidi"/>
            <w:b w:val="0"/>
            <w:bCs w:val="0"/>
            <w:noProof/>
            <w:sz w:val="24"/>
            <w:szCs w:val="24"/>
            <w:lang w:val="en-AU" w:eastAsia="en-GB"/>
          </w:rPr>
          <w:tab/>
        </w:r>
        <w:r w:rsidR="00766334" w:rsidRPr="00C94FBD">
          <w:rPr>
            <w:rStyle w:val="Hyperlink"/>
            <w:noProof/>
            <w:snapToGrid w:val="0"/>
          </w:rPr>
          <w:t>Hardware Requirements</w:t>
        </w:r>
        <w:r w:rsidR="00766334">
          <w:rPr>
            <w:noProof/>
            <w:webHidden/>
          </w:rPr>
          <w:tab/>
        </w:r>
        <w:r w:rsidR="00766334">
          <w:rPr>
            <w:noProof/>
            <w:webHidden/>
          </w:rPr>
          <w:fldChar w:fldCharType="begin"/>
        </w:r>
        <w:r w:rsidR="00766334">
          <w:rPr>
            <w:noProof/>
            <w:webHidden/>
          </w:rPr>
          <w:instrText xml:space="preserve"> PAGEREF _Toc56425235 \h </w:instrText>
        </w:r>
        <w:r w:rsidR="00766334">
          <w:rPr>
            <w:noProof/>
            <w:webHidden/>
          </w:rPr>
        </w:r>
        <w:r w:rsidR="00766334">
          <w:rPr>
            <w:noProof/>
            <w:webHidden/>
          </w:rPr>
          <w:fldChar w:fldCharType="separate"/>
        </w:r>
        <w:r w:rsidR="00766334">
          <w:rPr>
            <w:noProof/>
            <w:webHidden/>
          </w:rPr>
          <w:t>6</w:t>
        </w:r>
        <w:r w:rsidR="00766334">
          <w:rPr>
            <w:noProof/>
            <w:webHidden/>
          </w:rPr>
          <w:fldChar w:fldCharType="end"/>
        </w:r>
      </w:hyperlink>
    </w:p>
    <w:p w14:paraId="2CBDA3C9" w14:textId="711833C8"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6" w:history="1">
        <w:r w:rsidR="00766334" w:rsidRPr="00C94FBD">
          <w:rPr>
            <w:rStyle w:val="Hyperlink"/>
            <w:noProof/>
            <w:snapToGrid w:val="0"/>
          </w:rPr>
          <w:t>V3</w:t>
        </w:r>
        <w:r w:rsidR="00766334">
          <w:rPr>
            <w:rFonts w:eastAsiaTheme="minorEastAsia" w:cstheme="minorBidi"/>
            <w:b w:val="0"/>
            <w:bCs w:val="0"/>
            <w:noProof/>
            <w:sz w:val="24"/>
            <w:szCs w:val="24"/>
            <w:lang w:val="en-AU" w:eastAsia="en-GB"/>
          </w:rPr>
          <w:tab/>
        </w:r>
        <w:r w:rsidR="00766334" w:rsidRPr="00C94FBD">
          <w:rPr>
            <w:rStyle w:val="Hyperlink"/>
            <w:noProof/>
            <w:snapToGrid w:val="0"/>
          </w:rPr>
          <w:t>Software Requirements</w:t>
        </w:r>
        <w:r w:rsidR="00766334">
          <w:rPr>
            <w:noProof/>
            <w:webHidden/>
          </w:rPr>
          <w:tab/>
        </w:r>
        <w:r w:rsidR="00766334">
          <w:rPr>
            <w:noProof/>
            <w:webHidden/>
          </w:rPr>
          <w:fldChar w:fldCharType="begin"/>
        </w:r>
        <w:r w:rsidR="00766334">
          <w:rPr>
            <w:noProof/>
            <w:webHidden/>
          </w:rPr>
          <w:instrText xml:space="preserve"> PAGEREF _Toc56425236 \h </w:instrText>
        </w:r>
        <w:r w:rsidR="00766334">
          <w:rPr>
            <w:noProof/>
            <w:webHidden/>
          </w:rPr>
        </w:r>
        <w:r w:rsidR="00766334">
          <w:rPr>
            <w:noProof/>
            <w:webHidden/>
          </w:rPr>
          <w:fldChar w:fldCharType="separate"/>
        </w:r>
        <w:r w:rsidR="00766334">
          <w:rPr>
            <w:noProof/>
            <w:webHidden/>
          </w:rPr>
          <w:t>7</w:t>
        </w:r>
        <w:r w:rsidR="00766334">
          <w:rPr>
            <w:noProof/>
            <w:webHidden/>
          </w:rPr>
          <w:fldChar w:fldCharType="end"/>
        </w:r>
      </w:hyperlink>
    </w:p>
    <w:p w14:paraId="02412C6A" w14:textId="06BED4FA"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7" w:history="1">
        <w:r w:rsidR="00766334" w:rsidRPr="00C94FBD">
          <w:rPr>
            <w:rStyle w:val="Hyperlink"/>
            <w:noProof/>
          </w:rPr>
          <w:t>V4</w:t>
        </w:r>
        <w:r w:rsidR="00766334">
          <w:rPr>
            <w:rFonts w:eastAsiaTheme="minorEastAsia" w:cstheme="minorBidi"/>
            <w:b w:val="0"/>
            <w:bCs w:val="0"/>
            <w:noProof/>
            <w:sz w:val="24"/>
            <w:szCs w:val="24"/>
            <w:lang w:val="en-AU" w:eastAsia="en-GB"/>
          </w:rPr>
          <w:tab/>
        </w:r>
        <w:r w:rsidR="00766334" w:rsidRPr="00C94FBD">
          <w:rPr>
            <w:rStyle w:val="Hyperlink"/>
            <w:noProof/>
          </w:rPr>
          <w:t>Game Design Requirements</w:t>
        </w:r>
        <w:r w:rsidR="00766334">
          <w:rPr>
            <w:noProof/>
            <w:webHidden/>
          </w:rPr>
          <w:tab/>
        </w:r>
        <w:r w:rsidR="00766334">
          <w:rPr>
            <w:noProof/>
            <w:webHidden/>
          </w:rPr>
          <w:fldChar w:fldCharType="begin"/>
        </w:r>
        <w:r w:rsidR="00766334">
          <w:rPr>
            <w:noProof/>
            <w:webHidden/>
          </w:rPr>
          <w:instrText xml:space="preserve"> PAGEREF _Toc56425237 \h </w:instrText>
        </w:r>
        <w:r w:rsidR="00766334">
          <w:rPr>
            <w:noProof/>
            <w:webHidden/>
          </w:rPr>
        </w:r>
        <w:r w:rsidR="00766334">
          <w:rPr>
            <w:noProof/>
            <w:webHidden/>
          </w:rPr>
          <w:fldChar w:fldCharType="separate"/>
        </w:r>
        <w:r w:rsidR="00766334">
          <w:rPr>
            <w:noProof/>
            <w:webHidden/>
          </w:rPr>
          <w:t>10</w:t>
        </w:r>
        <w:r w:rsidR="00766334">
          <w:rPr>
            <w:noProof/>
            <w:webHidden/>
          </w:rPr>
          <w:fldChar w:fldCharType="end"/>
        </w:r>
      </w:hyperlink>
    </w:p>
    <w:p w14:paraId="1951A28C" w14:textId="231A38D8"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8" w:history="1">
        <w:r w:rsidR="00766334" w:rsidRPr="00C94FBD">
          <w:rPr>
            <w:rStyle w:val="Hyperlink"/>
            <w:noProof/>
            <w:snapToGrid w:val="0"/>
          </w:rPr>
          <w:t>V5</w:t>
        </w:r>
        <w:r w:rsidR="00766334">
          <w:rPr>
            <w:rFonts w:eastAsiaTheme="minorEastAsia" w:cstheme="minorBidi"/>
            <w:b w:val="0"/>
            <w:bCs w:val="0"/>
            <w:noProof/>
            <w:sz w:val="24"/>
            <w:szCs w:val="24"/>
            <w:lang w:val="en-AU" w:eastAsia="en-GB"/>
          </w:rPr>
          <w:tab/>
        </w:r>
        <w:r w:rsidR="00766334" w:rsidRPr="00C94FBD">
          <w:rPr>
            <w:rStyle w:val="Hyperlink"/>
            <w:noProof/>
            <w:snapToGrid w:val="0"/>
          </w:rPr>
          <w:t>On-Line Significant Events (</w:t>
        </w:r>
        <w:r w:rsidR="00766334" w:rsidRPr="00C94FBD">
          <w:rPr>
            <w:rStyle w:val="Hyperlink"/>
            <w:noProof/>
          </w:rPr>
          <w:t>Club and Hotel Gaming Venues Only</w:t>
        </w:r>
        <w:r w:rsidR="00766334" w:rsidRPr="00C94FBD">
          <w:rPr>
            <w:rStyle w:val="Hyperlink"/>
            <w:noProof/>
            <w:snapToGrid w:val="0"/>
          </w:rPr>
          <w:t>)</w:t>
        </w:r>
        <w:r w:rsidR="00766334">
          <w:rPr>
            <w:noProof/>
            <w:webHidden/>
          </w:rPr>
          <w:tab/>
        </w:r>
        <w:r w:rsidR="00766334">
          <w:rPr>
            <w:noProof/>
            <w:webHidden/>
          </w:rPr>
          <w:fldChar w:fldCharType="begin"/>
        </w:r>
        <w:r w:rsidR="00766334">
          <w:rPr>
            <w:noProof/>
            <w:webHidden/>
          </w:rPr>
          <w:instrText xml:space="preserve"> PAGEREF _Toc56425238 \h </w:instrText>
        </w:r>
        <w:r w:rsidR="00766334">
          <w:rPr>
            <w:noProof/>
            <w:webHidden/>
          </w:rPr>
        </w:r>
        <w:r w:rsidR="00766334">
          <w:rPr>
            <w:noProof/>
            <w:webHidden/>
          </w:rPr>
          <w:fldChar w:fldCharType="separate"/>
        </w:r>
        <w:r w:rsidR="00766334">
          <w:rPr>
            <w:noProof/>
            <w:webHidden/>
          </w:rPr>
          <w:t>11</w:t>
        </w:r>
        <w:r w:rsidR="00766334">
          <w:rPr>
            <w:noProof/>
            <w:webHidden/>
          </w:rPr>
          <w:fldChar w:fldCharType="end"/>
        </w:r>
      </w:hyperlink>
    </w:p>
    <w:p w14:paraId="6BD585A3" w14:textId="3EC2482E"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9" w:history="1">
        <w:r w:rsidR="00766334" w:rsidRPr="00C94FBD">
          <w:rPr>
            <w:rStyle w:val="Hyperlink"/>
            <w:noProof/>
          </w:rPr>
          <w:t>V6</w:t>
        </w:r>
        <w:r w:rsidR="00766334">
          <w:rPr>
            <w:rFonts w:eastAsiaTheme="minorEastAsia" w:cstheme="minorBidi"/>
            <w:b w:val="0"/>
            <w:bCs w:val="0"/>
            <w:noProof/>
            <w:sz w:val="24"/>
            <w:szCs w:val="24"/>
            <w:lang w:val="en-AU" w:eastAsia="en-GB"/>
          </w:rPr>
          <w:tab/>
        </w:r>
        <w:r w:rsidR="00766334" w:rsidRPr="00C94FBD">
          <w:rPr>
            <w:rStyle w:val="Hyperlink"/>
            <w:noProof/>
          </w:rPr>
          <w:t>Responsible Gambling</w:t>
        </w:r>
        <w:r w:rsidR="00766334">
          <w:rPr>
            <w:noProof/>
            <w:webHidden/>
          </w:rPr>
          <w:tab/>
        </w:r>
        <w:r w:rsidR="00766334">
          <w:rPr>
            <w:noProof/>
            <w:webHidden/>
          </w:rPr>
          <w:fldChar w:fldCharType="begin"/>
        </w:r>
        <w:r w:rsidR="00766334">
          <w:rPr>
            <w:noProof/>
            <w:webHidden/>
          </w:rPr>
          <w:instrText xml:space="preserve"> PAGEREF _Toc56425239 \h </w:instrText>
        </w:r>
        <w:r w:rsidR="00766334">
          <w:rPr>
            <w:noProof/>
            <w:webHidden/>
          </w:rPr>
        </w:r>
        <w:r w:rsidR="00766334">
          <w:rPr>
            <w:noProof/>
            <w:webHidden/>
          </w:rPr>
          <w:fldChar w:fldCharType="separate"/>
        </w:r>
        <w:r w:rsidR="00766334">
          <w:rPr>
            <w:noProof/>
            <w:webHidden/>
          </w:rPr>
          <w:t>13</w:t>
        </w:r>
        <w:r w:rsidR="00766334">
          <w:rPr>
            <w:noProof/>
            <w:webHidden/>
          </w:rPr>
          <w:fldChar w:fldCharType="end"/>
        </w:r>
      </w:hyperlink>
    </w:p>
    <w:p w14:paraId="7974B892" w14:textId="14047B28" w:rsidR="00766334" w:rsidRDefault="00EB10F1">
      <w:pPr>
        <w:pStyle w:val="TOC1"/>
        <w:tabs>
          <w:tab w:val="right" w:leader="dot" w:pos="9622"/>
        </w:tabs>
        <w:rPr>
          <w:rFonts w:eastAsiaTheme="minorEastAsia" w:cstheme="minorBidi"/>
          <w:b w:val="0"/>
          <w:bCs w:val="0"/>
          <w:iCs w:val="0"/>
          <w:noProof/>
          <w:lang w:val="en-AU" w:eastAsia="en-GB"/>
        </w:rPr>
      </w:pPr>
      <w:hyperlink w:anchor="_Toc56425240" w:history="1">
        <w:r w:rsidR="00766334" w:rsidRPr="00C94FBD">
          <w:rPr>
            <w:rStyle w:val="Hyperlink"/>
            <w:noProof/>
          </w:rPr>
          <w:t>Document information</w:t>
        </w:r>
        <w:r w:rsidR="00766334">
          <w:rPr>
            <w:noProof/>
            <w:webHidden/>
          </w:rPr>
          <w:tab/>
        </w:r>
        <w:r w:rsidR="00766334">
          <w:rPr>
            <w:noProof/>
            <w:webHidden/>
          </w:rPr>
          <w:fldChar w:fldCharType="begin"/>
        </w:r>
        <w:r w:rsidR="00766334">
          <w:rPr>
            <w:noProof/>
            <w:webHidden/>
          </w:rPr>
          <w:instrText xml:space="preserve"> PAGEREF _Toc56425240 \h </w:instrText>
        </w:r>
        <w:r w:rsidR="00766334">
          <w:rPr>
            <w:noProof/>
            <w:webHidden/>
          </w:rPr>
        </w:r>
        <w:r w:rsidR="00766334">
          <w:rPr>
            <w:noProof/>
            <w:webHidden/>
          </w:rPr>
          <w:fldChar w:fldCharType="separate"/>
        </w:r>
        <w:r w:rsidR="00766334">
          <w:rPr>
            <w:noProof/>
            <w:webHidden/>
          </w:rPr>
          <w:t>22</w:t>
        </w:r>
        <w:r w:rsidR="00766334">
          <w:rPr>
            <w:noProof/>
            <w:webHidden/>
          </w:rPr>
          <w:fldChar w:fldCharType="end"/>
        </w:r>
      </w:hyperlink>
    </w:p>
    <w:p w14:paraId="545E21F4" w14:textId="0DD9AAB5" w:rsidR="004273F2" w:rsidRDefault="00766334" w:rsidP="00D456A4">
      <w:pPr>
        <w:sectPr w:rsidR="004273F2" w:rsidSect="004273F2">
          <w:headerReference w:type="default" r:id="rId13"/>
          <w:footerReference w:type="default" r:id="rId14"/>
          <w:pgSz w:w="11900" w:h="16840"/>
          <w:pgMar w:top="1134" w:right="1134" w:bottom="1701" w:left="1134" w:header="709" w:footer="709" w:gutter="0"/>
          <w:cols w:space="708"/>
          <w:docGrid w:linePitch="360"/>
        </w:sectPr>
      </w:pPr>
      <w:r>
        <w:rPr>
          <w:rFonts w:cstheme="minorHAnsi"/>
          <w:b/>
          <w:bCs/>
          <w:szCs w:val="22"/>
        </w:rPr>
        <w:fldChar w:fldCharType="end"/>
      </w:r>
    </w:p>
    <w:p w14:paraId="3C875E07" w14:textId="77777777" w:rsidR="0034618A" w:rsidRPr="00236BE2" w:rsidRDefault="0034618A" w:rsidP="008C0218">
      <w:pPr>
        <w:pStyle w:val="Heading2"/>
      </w:pPr>
      <w:bookmarkStart w:id="2" w:name="_Toc467832806"/>
      <w:bookmarkStart w:id="3" w:name="_Toc56425234"/>
      <w:r>
        <w:lastRenderedPageBreak/>
        <w:t>V1</w:t>
      </w:r>
      <w:r>
        <w:tab/>
      </w:r>
      <w:r w:rsidRPr="00236BE2">
        <w:t>Introduction</w:t>
      </w:r>
      <w:bookmarkEnd w:id="2"/>
      <w:bookmarkEnd w:id="3"/>
    </w:p>
    <w:p w14:paraId="302EF5E8" w14:textId="77777777" w:rsidR="0034618A" w:rsidRPr="00CB7435" w:rsidRDefault="0034618A" w:rsidP="0034618A">
      <w:pPr>
        <w:ind w:left="720" w:hanging="720"/>
        <w:rPr>
          <w:sz w:val="20"/>
          <w:szCs w:val="20"/>
        </w:rPr>
      </w:pPr>
      <w:r w:rsidRPr="006A57C1">
        <w:t>V1.1</w:t>
      </w:r>
      <w:r w:rsidRPr="006A57C1">
        <w:tab/>
      </w:r>
      <w:r w:rsidRPr="00CB7435">
        <w:rPr>
          <w:sz w:val="20"/>
          <w:szCs w:val="20"/>
        </w:rPr>
        <w:t>This Victorian Appendix to the corresponding Australian / New Zealand Gaming Machine National Standard (the National Standard) lists additional or modified requirements to the National Standard that Victoria requires for gaming machines operating in Crown Casino and in Victorian Club and Hotel gaming venues. Where any requirement in this Appendix is in conflict with the National Standard, the requirement as stated in the Appendix shall be enforced.</w:t>
      </w:r>
    </w:p>
    <w:p w14:paraId="149C8413" w14:textId="77777777" w:rsidR="0034618A" w:rsidRPr="00CB7435" w:rsidRDefault="0034618A" w:rsidP="0034618A">
      <w:pPr>
        <w:ind w:left="720"/>
        <w:rPr>
          <w:sz w:val="20"/>
          <w:szCs w:val="20"/>
        </w:rPr>
      </w:pPr>
      <w:r w:rsidRPr="00CB7435">
        <w:rPr>
          <w:snapToGrid w:val="0"/>
          <w:sz w:val="20"/>
          <w:szCs w:val="20"/>
        </w:rPr>
        <w:t xml:space="preserve">All technical requirements, if relevant, reference back to their equivalent requirements in the National </w:t>
      </w:r>
      <w:r w:rsidRPr="00CB7435">
        <w:rPr>
          <w:sz w:val="20"/>
          <w:szCs w:val="20"/>
        </w:rPr>
        <w:t>Standard. At the time of publication of this Appendix, the current National Standard is the National Standard 2016.</w:t>
      </w:r>
    </w:p>
    <w:p w14:paraId="5383889F" w14:textId="77777777" w:rsidR="0034618A" w:rsidRPr="00CB7435" w:rsidRDefault="0034618A" w:rsidP="0034618A">
      <w:pPr>
        <w:ind w:left="720"/>
        <w:rPr>
          <w:snapToGrid w:val="0"/>
          <w:color w:val="000000"/>
          <w:sz w:val="20"/>
          <w:szCs w:val="20"/>
        </w:rPr>
      </w:pPr>
      <w:r w:rsidRPr="00CB7435">
        <w:rPr>
          <w:snapToGrid w:val="0"/>
          <w:color w:val="000000"/>
          <w:sz w:val="20"/>
          <w:szCs w:val="20"/>
        </w:rPr>
        <w:t>When this appendix refers to “this document”, it means the Victorian Appendix and the National Standard together.</w:t>
      </w:r>
    </w:p>
    <w:p w14:paraId="781D0CAE" w14:textId="77777777" w:rsidR="0034618A" w:rsidRPr="00CB7435" w:rsidRDefault="0034618A" w:rsidP="0034618A">
      <w:pPr>
        <w:ind w:left="720"/>
        <w:rPr>
          <w:snapToGrid w:val="0"/>
          <w:color w:val="000000"/>
          <w:sz w:val="20"/>
          <w:szCs w:val="20"/>
        </w:rPr>
      </w:pPr>
      <w:r w:rsidRPr="00CB7435">
        <w:rPr>
          <w:snapToGrid w:val="0"/>
          <w:color w:val="000000"/>
          <w:sz w:val="20"/>
          <w:szCs w:val="20"/>
        </w:rPr>
        <w:t>See the National Standard “APPENDIX B – LIMITS AND PARAMETERS” for the definition of the Victorian-specific gaming machine parameters.</w:t>
      </w:r>
    </w:p>
    <w:p w14:paraId="0D7C7603" w14:textId="77777777" w:rsidR="0034618A" w:rsidRPr="00CB7435" w:rsidRDefault="0034618A" w:rsidP="0034618A">
      <w:pPr>
        <w:ind w:left="720"/>
        <w:rPr>
          <w:snapToGrid w:val="0"/>
          <w:color w:val="000000"/>
          <w:sz w:val="20"/>
          <w:szCs w:val="20"/>
        </w:rPr>
      </w:pPr>
      <w:r w:rsidRPr="00CB7435">
        <w:rPr>
          <w:snapToGrid w:val="0"/>
          <w:color w:val="000000"/>
          <w:sz w:val="20"/>
          <w:szCs w:val="20"/>
        </w:rPr>
        <w:t>In this document “Commissioner” means a member of the Victorian Commission for Gambling and Liquor Regulation and the “Commission” means the Victorian Commission for Gambling and Liquor Regulation.</w:t>
      </w:r>
    </w:p>
    <w:p w14:paraId="7AC7FBDF" w14:textId="23005DE4" w:rsidR="0034618A" w:rsidRPr="00CB7435" w:rsidRDefault="0034618A" w:rsidP="0034618A">
      <w:pPr>
        <w:ind w:left="720"/>
        <w:rPr>
          <w:snapToGrid w:val="0"/>
          <w:color w:val="000000"/>
          <w:sz w:val="20"/>
          <w:szCs w:val="20"/>
        </w:rPr>
      </w:pPr>
      <w:r w:rsidRPr="00CB7435">
        <w:rPr>
          <w:snapToGrid w:val="0"/>
          <w:color w:val="000000"/>
          <w:sz w:val="20"/>
          <w:szCs w:val="20"/>
        </w:rPr>
        <w:t xml:space="preserve">The Commission has the responsibility for administering and enforcing gambling legislation in Victoria. More information can be obtained about the Commission at its website, at </w:t>
      </w:r>
      <w:hyperlink r:id="rId15" w:history="1">
        <w:r w:rsidRPr="00CB7435">
          <w:rPr>
            <w:rStyle w:val="Hyperlink"/>
            <w:snapToGrid w:val="0"/>
            <w:sz w:val="20"/>
            <w:szCs w:val="20"/>
          </w:rPr>
          <w:t>www.vcglr.vic.gov.au</w:t>
        </w:r>
      </w:hyperlink>
      <w:r w:rsidRPr="00CB7435">
        <w:rPr>
          <w:snapToGrid w:val="0"/>
          <w:color w:val="000000"/>
          <w:sz w:val="20"/>
          <w:szCs w:val="20"/>
        </w:rPr>
        <w:t>.</w:t>
      </w:r>
    </w:p>
    <w:p w14:paraId="1857232E" w14:textId="77777777" w:rsidR="00CB7435" w:rsidRDefault="0034618A" w:rsidP="00CB7435">
      <w:pPr>
        <w:ind w:left="720"/>
        <w:rPr>
          <w:snapToGrid w:val="0"/>
          <w:color w:val="000000"/>
          <w:szCs w:val="20"/>
        </w:rPr>
      </w:pPr>
      <w:r w:rsidRPr="00CB7435">
        <w:rPr>
          <w:snapToGrid w:val="0"/>
          <w:color w:val="000000"/>
          <w:sz w:val="20"/>
          <w:szCs w:val="20"/>
        </w:rPr>
        <w:t xml:space="preserve">Copying or reproducing this Appendix (or any part of this Appendix) for commercial gain, without prior permission, is prohibited. </w:t>
      </w:r>
    </w:p>
    <w:p w14:paraId="2D86348E" w14:textId="74987897" w:rsidR="0034618A" w:rsidRPr="00CB7435" w:rsidRDefault="0034618A" w:rsidP="007C56D7">
      <w:pPr>
        <w:pStyle w:val="Heading3"/>
        <w:rPr>
          <w:snapToGrid w:val="0"/>
          <w:color w:val="000000"/>
          <w:sz w:val="20"/>
          <w:szCs w:val="20"/>
        </w:rPr>
      </w:pPr>
      <w:r w:rsidRPr="0068074F">
        <w:rPr>
          <w:snapToGrid w:val="0"/>
        </w:rPr>
        <w:t>Objectives</w:t>
      </w:r>
    </w:p>
    <w:p w14:paraId="109B02A8" w14:textId="77777777" w:rsidR="0034618A" w:rsidRDefault="0034618A" w:rsidP="00CB7435">
      <w:pPr>
        <w:ind w:left="720" w:hanging="720"/>
        <w:rPr>
          <w:snapToGrid w:val="0"/>
        </w:rPr>
      </w:pPr>
      <w:r>
        <w:rPr>
          <w:snapToGrid w:val="0"/>
        </w:rPr>
        <w:t>V1.2</w:t>
      </w:r>
      <w:r>
        <w:rPr>
          <w:snapToGrid w:val="0"/>
        </w:rPr>
        <w:tab/>
        <w:t>The Commission is looking to set high integrity standards for gaming equipment in Victoria. These standards may well be in excess of those in other jurisdictions. However, the approval of the use of standard devices in other gaming jurisdictions (which have similar standards to Victoria) will not be unreasonably withheld.</w:t>
      </w:r>
    </w:p>
    <w:p w14:paraId="25C19D0E" w14:textId="77777777" w:rsidR="0034618A" w:rsidRPr="0068074F" w:rsidRDefault="0034618A" w:rsidP="007C56D7">
      <w:pPr>
        <w:pStyle w:val="Heading3"/>
        <w:rPr>
          <w:snapToGrid w:val="0"/>
        </w:rPr>
      </w:pPr>
      <w:r w:rsidRPr="0068074F">
        <w:rPr>
          <w:snapToGrid w:val="0"/>
        </w:rPr>
        <w:t>Document Scope</w:t>
      </w:r>
      <w:r>
        <w:rPr>
          <w:snapToGrid w:val="0"/>
        </w:rPr>
        <w:t xml:space="preserve"> and Purpose</w:t>
      </w:r>
    </w:p>
    <w:p w14:paraId="0FB2FA81" w14:textId="77777777" w:rsidR="0034618A" w:rsidRDefault="0034618A" w:rsidP="00CB7435">
      <w:pPr>
        <w:ind w:left="720" w:hanging="720"/>
        <w:rPr>
          <w:snapToGrid w:val="0"/>
        </w:rPr>
      </w:pPr>
      <w:r>
        <w:rPr>
          <w:snapToGrid w:val="0"/>
        </w:rPr>
        <w:t>V1.3</w:t>
      </w:r>
      <w:r>
        <w:rPr>
          <w:snapToGrid w:val="0"/>
        </w:rPr>
        <w:tab/>
        <w:t xml:space="preserve">The requirements in this document apply to all gaming machine types and games submitted for approval under section 3.5.4 or 3.5.5 of the </w:t>
      </w:r>
      <w:r w:rsidRPr="00BB39C0">
        <w:rPr>
          <w:i/>
        </w:rPr>
        <w:t>Gambling Regulation Act 2003</w:t>
      </w:r>
      <w:r w:rsidRPr="0068074F">
        <w:t xml:space="preserve"> </w:t>
      </w:r>
      <w:r>
        <w:t>(</w:t>
      </w:r>
      <w:r>
        <w:rPr>
          <w:snapToGrid w:val="0"/>
        </w:rPr>
        <w:t>the Act).</w:t>
      </w:r>
    </w:p>
    <w:p w14:paraId="6040E73A" w14:textId="77777777" w:rsidR="0034618A" w:rsidRDefault="0034618A" w:rsidP="00CB7435">
      <w:pPr>
        <w:ind w:left="720" w:hanging="720"/>
        <w:rPr>
          <w:snapToGrid w:val="0"/>
        </w:rPr>
      </w:pPr>
      <w:r>
        <w:rPr>
          <w:snapToGrid w:val="0"/>
        </w:rPr>
        <w:t>V1.4</w:t>
      </w:r>
      <w:r>
        <w:rPr>
          <w:snapToGrid w:val="0"/>
        </w:rPr>
        <w:tab/>
        <w:t>Legislation requires that only approved gaming equipment may be operated in Victoria. This document (together with relevant legislation and regulations) will be used by an Accredited Testing Facility (ATF) to evaluate gaming equipment, prior to the equipment being submitted for approval.</w:t>
      </w:r>
    </w:p>
    <w:p w14:paraId="34F37709" w14:textId="77777777" w:rsidR="0034618A" w:rsidRDefault="0034618A" w:rsidP="00CB7435">
      <w:pPr>
        <w:ind w:left="720" w:hanging="720"/>
        <w:rPr>
          <w:snapToGrid w:val="0"/>
        </w:rPr>
      </w:pPr>
      <w:r>
        <w:rPr>
          <w:snapToGrid w:val="0"/>
        </w:rPr>
        <w:t>V1.5</w:t>
      </w:r>
      <w:r>
        <w:rPr>
          <w:snapToGrid w:val="0"/>
        </w:rPr>
        <w:tab/>
        <w:t>Matters arising from the testing of gaming equipment which have not been addressed in this document (e.g. due to omissions or new technology) will be resolved at the sole discretion of the Commission as part of the approval process.</w:t>
      </w:r>
    </w:p>
    <w:p w14:paraId="7B2A5B60" w14:textId="77777777" w:rsidR="0034618A" w:rsidRPr="0068074F" w:rsidRDefault="0034618A" w:rsidP="007C56D7">
      <w:pPr>
        <w:pStyle w:val="Heading3"/>
      </w:pPr>
      <w:r w:rsidRPr="0068074F">
        <w:lastRenderedPageBreak/>
        <w:t>Legislation</w:t>
      </w:r>
      <w:r>
        <w:t xml:space="preserve"> and Regulations</w:t>
      </w:r>
    </w:p>
    <w:p w14:paraId="23005A2D" w14:textId="77777777" w:rsidR="0034618A" w:rsidRPr="0068074F" w:rsidRDefault="0034618A" w:rsidP="00CB7435">
      <w:pPr>
        <w:ind w:left="720" w:hanging="720"/>
      </w:pPr>
      <w:r>
        <w:rPr>
          <w:snapToGrid w:val="0"/>
          <w:color w:val="000000"/>
        </w:rPr>
        <w:t>V1.6</w:t>
      </w:r>
      <w:r w:rsidRPr="006D3494">
        <w:rPr>
          <w:snapToGrid w:val="0"/>
          <w:color w:val="000000"/>
        </w:rPr>
        <w:tab/>
      </w:r>
      <w:r>
        <w:t>The enabling legislation is the Act</w:t>
      </w:r>
      <w:r w:rsidRPr="0068074F">
        <w:t xml:space="preserve"> and the </w:t>
      </w:r>
      <w:r w:rsidRPr="00BB39C0">
        <w:rPr>
          <w:i/>
        </w:rPr>
        <w:t>Casino Control Act 1991</w:t>
      </w:r>
      <w:r w:rsidRPr="0068074F">
        <w:t xml:space="preserve"> (the CCA) and their asso</w:t>
      </w:r>
      <w:r>
        <w:t>ciated prevailing regulations. T</w:t>
      </w:r>
      <w:r w:rsidRPr="0068074F">
        <w:t>he requirements specified in this document are supplementary to</w:t>
      </w:r>
      <w:r>
        <w:t>,</w:t>
      </w:r>
      <w:r w:rsidRPr="0068074F">
        <w:t xml:space="preserve"> and do not take the place of</w:t>
      </w:r>
      <w:r>
        <w:t>,</w:t>
      </w:r>
      <w:r w:rsidRPr="0068074F">
        <w:t xml:space="preserve"> any of the requirements of the legislation.</w:t>
      </w:r>
    </w:p>
    <w:p w14:paraId="5F904431" w14:textId="77777777" w:rsidR="0034618A" w:rsidRPr="00CB7435" w:rsidRDefault="0034618A" w:rsidP="0034618A">
      <w:pPr>
        <w:spacing w:before="120"/>
        <w:ind w:left="720"/>
        <w:jc w:val="both"/>
        <w:rPr>
          <w:rFonts w:ascii="Arial" w:hAnsi="Arial" w:cs="Arial"/>
          <w:snapToGrid w:val="0"/>
          <w:sz w:val="21"/>
          <w:szCs w:val="21"/>
        </w:rPr>
      </w:pPr>
      <w:r w:rsidRPr="00CB7435">
        <w:rPr>
          <w:rFonts w:ascii="Arial" w:hAnsi="Arial" w:cs="Arial"/>
          <w:snapToGrid w:val="0"/>
          <w:sz w:val="21"/>
          <w:szCs w:val="21"/>
        </w:rPr>
        <w:t>Under section 3.5.4 of the Act, the Commission may approve or refuse to approve a gaming machine type or a game having regard to:</w:t>
      </w:r>
    </w:p>
    <w:p w14:paraId="3C94EF75" w14:textId="77777777" w:rsidR="0034618A" w:rsidRPr="00CB7435" w:rsidRDefault="0034618A" w:rsidP="0034618A">
      <w:pPr>
        <w:pStyle w:val="ListParagraph"/>
        <w:numPr>
          <w:ilvl w:val="0"/>
          <w:numId w:val="33"/>
        </w:numPr>
        <w:tabs>
          <w:tab w:val="num" w:pos="1514"/>
        </w:tabs>
        <w:spacing w:before="120" w:line="240" w:lineRule="auto"/>
        <w:jc w:val="both"/>
        <w:rPr>
          <w:rFonts w:ascii="Arial" w:hAnsi="Arial" w:cs="Arial"/>
          <w:snapToGrid w:val="0"/>
          <w:sz w:val="21"/>
          <w:szCs w:val="21"/>
        </w:rPr>
      </w:pPr>
      <w:r w:rsidRPr="00CB7435">
        <w:rPr>
          <w:rFonts w:ascii="Arial" w:hAnsi="Arial" w:cs="Arial"/>
          <w:snapToGrid w:val="0"/>
          <w:sz w:val="21"/>
          <w:szCs w:val="21"/>
        </w:rPr>
        <w:t>Player return, game fairness and security and responsible gambling and</w:t>
      </w:r>
    </w:p>
    <w:p w14:paraId="38B3254F" w14:textId="77777777" w:rsidR="0034618A" w:rsidRPr="00CB7435" w:rsidRDefault="0034618A" w:rsidP="0034618A">
      <w:pPr>
        <w:pStyle w:val="ListParagraph"/>
        <w:numPr>
          <w:ilvl w:val="0"/>
          <w:numId w:val="33"/>
        </w:numPr>
        <w:tabs>
          <w:tab w:val="num" w:pos="1514"/>
        </w:tabs>
        <w:spacing w:before="120" w:line="240" w:lineRule="auto"/>
        <w:jc w:val="both"/>
        <w:rPr>
          <w:rFonts w:ascii="Arial" w:hAnsi="Arial" w:cs="Arial"/>
          <w:snapToGrid w:val="0"/>
          <w:sz w:val="21"/>
          <w:szCs w:val="21"/>
        </w:rPr>
      </w:pPr>
      <w:r w:rsidRPr="00CB7435">
        <w:rPr>
          <w:rFonts w:ascii="Arial" w:hAnsi="Arial" w:cs="Arial"/>
          <w:snapToGrid w:val="0"/>
          <w:sz w:val="21"/>
          <w:szCs w:val="21"/>
        </w:rPr>
        <w:t xml:space="preserve">any standards in force under section 3.5.3; and </w:t>
      </w:r>
    </w:p>
    <w:p w14:paraId="4BAB1E51" w14:textId="77777777" w:rsidR="0034618A" w:rsidRPr="00CB7435" w:rsidRDefault="0034618A" w:rsidP="0034618A">
      <w:pPr>
        <w:pStyle w:val="ListParagraph"/>
        <w:numPr>
          <w:ilvl w:val="0"/>
          <w:numId w:val="33"/>
        </w:numPr>
        <w:tabs>
          <w:tab w:val="num" w:pos="1514"/>
        </w:tabs>
        <w:spacing w:before="120" w:line="240" w:lineRule="auto"/>
        <w:jc w:val="both"/>
        <w:rPr>
          <w:rFonts w:ascii="Arial" w:hAnsi="Arial" w:cs="Arial"/>
          <w:snapToGrid w:val="0"/>
          <w:sz w:val="21"/>
          <w:szCs w:val="21"/>
        </w:rPr>
      </w:pPr>
      <w:r w:rsidRPr="00CB7435">
        <w:rPr>
          <w:rFonts w:ascii="Arial" w:hAnsi="Arial" w:cs="Arial"/>
          <w:snapToGrid w:val="0"/>
          <w:sz w:val="21"/>
          <w:szCs w:val="21"/>
        </w:rPr>
        <w:t>the certificate of a person listed on the Roll being a person referred to in section 3.4.61(1)(c).</w:t>
      </w:r>
    </w:p>
    <w:p w14:paraId="7EB6E25D" w14:textId="77777777" w:rsidR="0034618A" w:rsidRDefault="0034618A" w:rsidP="0034618A">
      <w:pPr>
        <w:spacing w:before="120"/>
        <w:ind w:left="720"/>
        <w:jc w:val="both"/>
        <w:rPr>
          <w:rFonts w:ascii="Arial" w:hAnsi="Arial" w:cs="Arial"/>
          <w:snapToGrid w:val="0"/>
          <w:szCs w:val="22"/>
        </w:rPr>
      </w:pPr>
      <w:r w:rsidRPr="0068074F">
        <w:rPr>
          <w:rFonts w:ascii="Arial" w:hAnsi="Arial" w:cs="Arial"/>
          <w:snapToGrid w:val="0"/>
          <w:szCs w:val="22"/>
        </w:rPr>
        <w:t xml:space="preserve">The National Standard together with the Victorian Appendix constitute the standard in force (Commission’s Standards) under section 3.5.3 of the Act. The standard is effective 6 months from the date of the making of the standard by the Commission as published in the Victorian Government Gazette. Until the revised version of the Commission’s </w:t>
      </w:r>
      <w:r>
        <w:rPr>
          <w:rFonts w:ascii="Arial" w:hAnsi="Arial" w:cs="Arial"/>
          <w:snapToGrid w:val="0"/>
          <w:szCs w:val="22"/>
        </w:rPr>
        <w:t>S</w:t>
      </w:r>
      <w:r w:rsidRPr="0068074F">
        <w:rPr>
          <w:rFonts w:ascii="Arial" w:hAnsi="Arial" w:cs="Arial"/>
          <w:snapToGrid w:val="0"/>
          <w:szCs w:val="22"/>
        </w:rPr>
        <w:t>tandards becomes effective, the current version of the National Standard is acceptable for the purpose of evaluating gaming machine types and games. In this event, the tester’s certificate must report any difference be</w:t>
      </w:r>
      <w:r>
        <w:rPr>
          <w:rFonts w:ascii="Arial" w:hAnsi="Arial" w:cs="Arial"/>
          <w:snapToGrid w:val="0"/>
          <w:szCs w:val="22"/>
        </w:rPr>
        <w:t>tween the revised Commission’s S</w:t>
      </w:r>
      <w:r w:rsidRPr="0068074F">
        <w:rPr>
          <w:rFonts w:ascii="Arial" w:hAnsi="Arial" w:cs="Arial"/>
          <w:snapToGrid w:val="0"/>
          <w:szCs w:val="22"/>
        </w:rPr>
        <w:t>tandard</w:t>
      </w:r>
      <w:r>
        <w:rPr>
          <w:rFonts w:ascii="Arial" w:hAnsi="Arial" w:cs="Arial"/>
          <w:snapToGrid w:val="0"/>
          <w:szCs w:val="22"/>
        </w:rPr>
        <w:t>s</w:t>
      </w:r>
      <w:r w:rsidRPr="0068074F">
        <w:rPr>
          <w:rFonts w:ascii="Arial" w:hAnsi="Arial" w:cs="Arial"/>
          <w:snapToGrid w:val="0"/>
          <w:szCs w:val="22"/>
        </w:rPr>
        <w:t xml:space="preserve"> and the current National Standard.</w:t>
      </w:r>
    </w:p>
    <w:p w14:paraId="4916FAED" w14:textId="77777777" w:rsidR="0034618A" w:rsidRPr="0068074F" w:rsidRDefault="0034618A" w:rsidP="0034618A">
      <w:pPr>
        <w:spacing w:before="120"/>
        <w:ind w:left="720"/>
        <w:jc w:val="both"/>
        <w:rPr>
          <w:rFonts w:ascii="Arial" w:hAnsi="Arial" w:cs="Arial"/>
          <w:snapToGrid w:val="0"/>
          <w:szCs w:val="22"/>
        </w:rPr>
      </w:pPr>
      <w:r>
        <w:rPr>
          <w:rFonts w:ascii="Arial" w:hAnsi="Arial" w:cs="Arial"/>
          <w:snapToGrid w:val="0"/>
          <w:szCs w:val="22"/>
        </w:rPr>
        <w:t xml:space="preserve">In addition to the Act and Standards, the prevailing Regulations contain provisions across a number of areas of gambling regulation, including operations within gaming venues and casinos, some of which impact on requirements for game and gaming machine design. The prevailing Regulations are available on the Commission website, at </w:t>
      </w:r>
      <w:hyperlink r:id="rId16" w:history="1">
        <w:r w:rsidRPr="004C779F">
          <w:rPr>
            <w:rStyle w:val="Hyperlink"/>
            <w:snapToGrid w:val="0"/>
            <w:szCs w:val="22"/>
          </w:rPr>
          <w:t>www.vcglr.vic.gov.au</w:t>
        </w:r>
      </w:hyperlink>
      <w:r>
        <w:rPr>
          <w:rFonts w:ascii="Arial" w:hAnsi="Arial" w:cs="Arial"/>
          <w:snapToGrid w:val="0"/>
          <w:szCs w:val="22"/>
        </w:rPr>
        <w:t xml:space="preserve"> on the Gambling Legislation and Regulation page.</w:t>
      </w:r>
    </w:p>
    <w:p w14:paraId="11A53ABB" w14:textId="77777777" w:rsidR="0034618A" w:rsidRPr="00D73A09" w:rsidRDefault="0034618A" w:rsidP="007C56D7">
      <w:pPr>
        <w:pStyle w:val="Heading3"/>
        <w:rPr>
          <w:snapToGrid w:val="0"/>
        </w:rPr>
      </w:pPr>
      <w:r>
        <w:rPr>
          <w:snapToGrid w:val="0"/>
        </w:rPr>
        <w:t>Other relevant standards</w:t>
      </w:r>
    </w:p>
    <w:p w14:paraId="0ACAC93D" w14:textId="77777777" w:rsidR="0034618A" w:rsidRDefault="0034618A" w:rsidP="008C0218">
      <w:pPr>
        <w:ind w:left="720" w:hanging="720"/>
        <w:rPr>
          <w:snapToGrid w:val="0"/>
        </w:rPr>
      </w:pPr>
      <w:r>
        <w:rPr>
          <w:snapToGrid w:val="0"/>
        </w:rPr>
        <w:t>V1.7</w:t>
      </w:r>
      <w:r>
        <w:rPr>
          <w:snapToGrid w:val="0"/>
        </w:rPr>
        <w:tab/>
        <w:t>The Commission may, from time to time, make other technical standards, which can be found on the Commission website, that are relevant to the design and operation of gaming machines.</w:t>
      </w:r>
    </w:p>
    <w:p w14:paraId="2096F092" w14:textId="77777777" w:rsidR="0034618A" w:rsidRDefault="0034618A" w:rsidP="00CB7435">
      <w:pPr>
        <w:rPr>
          <w:snapToGrid w:val="0"/>
        </w:rPr>
      </w:pPr>
      <w:r>
        <w:rPr>
          <w:snapToGrid w:val="0"/>
        </w:rPr>
        <w:t>V1.8</w:t>
      </w:r>
      <w:r>
        <w:rPr>
          <w:snapToGrid w:val="0"/>
        </w:rPr>
        <w:tab/>
        <w:t>At the time of publication of this Standard, these standards include technical standards for:</w:t>
      </w:r>
    </w:p>
    <w:p w14:paraId="5997C87C" w14:textId="77777777" w:rsidR="0034618A" w:rsidRPr="00655774" w:rsidRDefault="0034618A" w:rsidP="007C56D7">
      <w:pPr>
        <w:pStyle w:val="Bullet1"/>
        <w:ind w:left="993" w:hanging="284"/>
        <w:rPr>
          <w:snapToGrid w:val="0"/>
          <w:color w:val="000000"/>
        </w:rPr>
      </w:pPr>
      <w:r w:rsidRPr="00657E41">
        <w:rPr>
          <w:snapToGrid w:val="0"/>
          <w:color w:val="000000"/>
        </w:rPr>
        <w:t xml:space="preserve">the </w:t>
      </w:r>
      <w:r w:rsidRPr="00657E41">
        <w:t>monitoring system</w:t>
      </w:r>
      <w:r w:rsidRPr="00657E41">
        <w:rPr>
          <w:snapToGrid w:val="0"/>
          <w:color w:val="000000"/>
        </w:rPr>
        <w:t xml:space="preserve"> </w:t>
      </w:r>
      <w:r>
        <w:rPr>
          <w:snapToGrid w:val="0"/>
          <w:color w:val="000000"/>
        </w:rPr>
        <w:t xml:space="preserve">for clubs and hotels: </w:t>
      </w:r>
      <w:r w:rsidRPr="00655774">
        <w:rPr>
          <w:snapToGrid w:val="0"/>
          <w:color w:val="000000"/>
        </w:rPr>
        <w:t xml:space="preserve">the </w:t>
      </w:r>
      <w:r w:rsidRPr="00CB7435">
        <w:rPr>
          <w:i/>
          <w:iCs/>
          <w:lang w:val="en-US"/>
        </w:rPr>
        <w:t>Victorian Central Monitoring and Control System Requirements</w:t>
      </w:r>
      <w:r w:rsidRPr="00394538">
        <w:rPr>
          <w:lang w:val="en-US"/>
        </w:rPr>
        <w:t xml:space="preserve"> </w:t>
      </w:r>
      <w:r>
        <w:rPr>
          <w:lang w:val="en-US"/>
        </w:rPr>
        <w:t>d</w:t>
      </w:r>
      <w:r w:rsidRPr="00394538">
        <w:rPr>
          <w:lang w:val="en-US"/>
        </w:rPr>
        <w:t>ocument</w:t>
      </w:r>
    </w:p>
    <w:p w14:paraId="2EF326C6" w14:textId="77777777" w:rsidR="0034618A" w:rsidRDefault="0034618A" w:rsidP="007C56D7">
      <w:pPr>
        <w:pStyle w:val="Bullet1"/>
        <w:ind w:left="993" w:hanging="284"/>
        <w:rPr>
          <w:snapToGrid w:val="0"/>
          <w:color w:val="000000"/>
        </w:rPr>
      </w:pPr>
      <w:r>
        <w:rPr>
          <w:snapToGrid w:val="0"/>
          <w:color w:val="000000"/>
        </w:rPr>
        <w:t xml:space="preserve">gaming systems (including the monitoring system) operating in the Melbourne Casino: </w:t>
      </w:r>
      <w:r w:rsidRPr="00CB7435">
        <w:rPr>
          <w:i/>
          <w:iCs/>
          <w:snapToGrid w:val="0"/>
          <w:color w:val="000000"/>
        </w:rPr>
        <w:t>The Technical Requirements for Gaming Machines and Electronic Monitoring Systems in the Melbourne Casino</w:t>
      </w:r>
      <w:r>
        <w:rPr>
          <w:snapToGrid w:val="0"/>
          <w:color w:val="000000"/>
        </w:rPr>
        <w:t xml:space="preserve"> document (TRD) Version 3.0 together with its appendices</w:t>
      </w:r>
    </w:p>
    <w:p w14:paraId="412338B8" w14:textId="77777777" w:rsidR="0034618A" w:rsidRPr="00CB7435" w:rsidRDefault="0034618A" w:rsidP="007C56D7">
      <w:pPr>
        <w:pStyle w:val="Bullet1"/>
        <w:ind w:left="993" w:hanging="284"/>
        <w:rPr>
          <w:i/>
          <w:iCs/>
        </w:rPr>
      </w:pPr>
      <w:r>
        <w:t xml:space="preserve">the pre-commitment system: the </w:t>
      </w:r>
      <w:r w:rsidRPr="00CB7435">
        <w:rPr>
          <w:i/>
          <w:iCs/>
        </w:rPr>
        <w:t>Victorian Pre-commitment System Requirements document</w:t>
      </w:r>
    </w:p>
    <w:p w14:paraId="7F43CCEC" w14:textId="77777777" w:rsidR="0034618A" w:rsidRPr="00D73A09" w:rsidRDefault="0034618A" w:rsidP="007C56D7">
      <w:pPr>
        <w:pStyle w:val="Bullet1"/>
        <w:ind w:left="993" w:hanging="284"/>
      </w:pPr>
      <w:r>
        <w:t xml:space="preserve">pre-commitment player account equipment installed in Victorian Clubs and Hotels or the Melbourne Casino:  </w:t>
      </w:r>
      <w:proofErr w:type="gramStart"/>
      <w:r>
        <w:t>the</w:t>
      </w:r>
      <w:proofErr w:type="gramEnd"/>
      <w:r>
        <w:t xml:space="preserve"> </w:t>
      </w:r>
      <w:r w:rsidRPr="00CB7435">
        <w:rPr>
          <w:i/>
          <w:iCs/>
        </w:rPr>
        <w:t>Player Account Equipment Technical Requirements</w:t>
      </w:r>
      <w:r>
        <w:t xml:space="preserve"> document.</w:t>
      </w:r>
    </w:p>
    <w:p w14:paraId="67197105" w14:textId="03FE960F" w:rsidR="0034618A" w:rsidRPr="0068074F" w:rsidRDefault="0034618A" w:rsidP="007C56D7">
      <w:pPr>
        <w:pStyle w:val="Heading3"/>
        <w:rPr>
          <w:snapToGrid w:val="0"/>
        </w:rPr>
      </w:pPr>
      <w:r w:rsidRPr="0068074F">
        <w:rPr>
          <w:snapToGrid w:val="0"/>
        </w:rPr>
        <w:lastRenderedPageBreak/>
        <w:t>Approval Process</w:t>
      </w:r>
    </w:p>
    <w:p w14:paraId="5611AD40" w14:textId="1473F608" w:rsidR="0034618A" w:rsidRDefault="0034618A" w:rsidP="008C0218">
      <w:pPr>
        <w:ind w:left="720" w:hanging="720"/>
        <w:rPr>
          <w:snapToGrid w:val="0"/>
        </w:rPr>
      </w:pPr>
      <w:r w:rsidRPr="0068074F">
        <w:rPr>
          <w:snapToGrid w:val="0"/>
        </w:rPr>
        <w:t>V1</w:t>
      </w:r>
      <w:r>
        <w:rPr>
          <w:snapToGrid w:val="0"/>
        </w:rPr>
        <w:t>.9</w:t>
      </w:r>
      <w:r w:rsidRPr="0068074F">
        <w:rPr>
          <w:snapToGrid w:val="0"/>
        </w:rPr>
        <w:tab/>
      </w:r>
      <w:r>
        <w:rPr>
          <w:snapToGrid w:val="0"/>
        </w:rPr>
        <w:t>Contact the staff of the Victorian Commission for Gambling and Liquor Regulation (see “</w:t>
      </w:r>
      <w:hyperlink r:id="rId17" w:history="1">
        <w:r w:rsidRPr="00CB7435">
          <w:rPr>
            <w:rStyle w:val="Hyperlink"/>
            <w:snapToGrid w:val="0"/>
          </w:rPr>
          <w:t>www.vcglr.vic.gov.au</w:t>
        </w:r>
      </w:hyperlink>
      <w:r>
        <w:rPr>
          <w:snapToGrid w:val="0"/>
        </w:rPr>
        <w:t>”) for information regarding the submission for approval of new gaming machines or gaming machine games (obtaining an Application for Approval form for a new gaming machine or game).</w:t>
      </w:r>
    </w:p>
    <w:p w14:paraId="7F304152" w14:textId="77777777" w:rsidR="0034618A" w:rsidRPr="0068074F" w:rsidRDefault="0034618A" w:rsidP="007C56D7">
      <w:pPr>
        <w:pStyle w:val="Heading3"/>
        <w:rPr>
          <w:snapToGrid w:val="0"/>
        </w:rPr>
      </w:pPr>
      <w:r w:rsidRPr="0068074F">
        <w:rPr>
          <w:snapToGrid w:val="0"/>
        </w:rPr>
        <w:t>Provision of Information</w:t>
      </w:r>
    </w:p>
    <w:p w14:paraId="7946D528" w14:textId="77777777" w:rsidR="0034618A" w:rsidRDefault="0034618A" w:rsidP="008C0218">
      <w:pPr>
        <w:ind w:left="720" w:hanging="720"/>
        <w:rPr>
          <w:snapToGrid w:val="0"/>
        </w:rPr>
      </w:pPr>
      <w:r>
        <w:rPr>
          <w:snapToGrid w:val="0"/>
        </w:rPr>
        <w:t>V1.10</w:t>
      </w:r>
      <w:r>
        <w:rPr>
          <w:snapToGrid w:val="0"/>
        </w:rPr>
        <w:tab/>
        <w:t>The Commission may require information on currently approved gaming equipment in operation. Therefore, venue operators and manufacturers must maintain and retain all records pertaining to the design, manufacture and test of the equipment.</w:t>
      </w:r>
    </w:p>
    <w:p w14:paraId="2D6C4ECD" w14:textId="77777777" w:rsidR="0034618A" w:rsidRPr="0068074F" w:rsidRDefault="0034618A" w:rsidP="007C56D7">
      <w:pPr>
        <w:pStyle w:val="Heading3"/>
        <w:rPr>
          <w:snapToGrid w:val="0"/>
        </w:rPr>
      </w:pPr>
      <w:r w:rsidRPr="0068074F">
        <w:rPr>
          <w:snapToGrid w:val="0"/>
        </w:rPr>
        <w:t>Equipment Operation</w:t>
      </w:r>
    </w:p>
    <w:p w14:paraId="2F17DE46" w14:textId="77777777" w:rsidR="0034618A" w:rsidRDefault="0034618A" w:rsidP="008C0218">
      <w:pPr>
        <w:ind w:left="357" w:hanging="357"/>
        <w:rPr>
          <w:snapToGrid w:val="0"/>
        </w:rPr>
      </w:pPr>
      <w:r>
        <w:rPr>
          <w:snapToGrid w:val="0"/>
        </w:rPr>
        <w:t>V1.11</w:t>
      </w:r>
      <w:r>
        <w:rPr>
          <w:snapToGrid w:val="0"/>
        </w:rPr>
        <w:tab/>
        <w:t>Gaming equipment which does not fully comply with all requirements specified in this document may be considered for approval provided the gaming equipment operates in a manner that is suitable in respect of:</w:t>
      </w:r>
    </w:p>
    <w:p w14:paraId="41B6E810" w14:textId="77777777" w:rsidR="0034618A" w:rsidRPr="0068074F" w:rsidRDefault="0034618A" w:rsidP="008C0218">
      <w:pPr>
        <w:pStyle w:val="Numberlistlegal"/>
        <w:ind w:firstLine="69"/>
        <w:rPr>
          <w:snapToGrid w:val="0"/>
        </w:rPr>
      </w:pPr>
      <w:r w:rsidRPr="0068074F">
        <w:rPr>
          <w:snapToGrid w:val="0"/>
        </w:rPr>
        <w:t>player return;</w:t>
      </w:r>
    </w:p>
    <w:p w14:paraId="20F19657" w14:textId="77777777" w:rsidR="0034618A" w:rsidRPr="0068074F" w:rsidRDefault="0034618A" w:rsidP="008C0218">
      <w:pPr>
        <w:pStyle w:val="Numberlistlegal"/>
        <w:ind w:firstLine="69"/>
        <w:rPr>
          <w:snapToGrid w:val="0"/>
        </w:rPr>
      </w:pPr>
      <w:r w:rsidRPr="0068074F">
        <w:rPr>
          <w:snapToGrid w:val="0"/>
        </w:rPr>
        <w:t>game fairness and security; and</w:t>
      </w:r>
    </w:p>
    <w:p w14:paraId="6F2149FD" w14:textId="77777777" w:rsidR="0034618A" w:rsidRPr="0068074F" w:rsidRDefault="0034618A" w:rsidP="008C0218">
      <w:pPr>
        <w:pStyle w:val="Numberlistlegal"/>
        <w:ind w:firstLine="69"/>
        <w:rPr>
          <w:snapToGrid w:val="0"/>
        </w:rPr>
      </w:pPr>
      <w:r w:rsidRPr="0068074F">
        <w:rPr>
          <w:snapToGrid w:val="0"/>
        </w:rPr>
        <w:t>responsible gambling</w:t>
      </w:r>
    </w:p>
    <w:p w14:paraId="6B206C90" w14:textId="77777777" w:rsidR="0034618A" w:rsidRDefault="0034618A" w:rsidP="0034618A">
      <w:pPr>
        <w:rPr>
          <w:rFonts w:ascii="Arial Bold" w:hAnsi="Arial Bold" w:cs="Arial"/>
          <w:b/>
          <w:snapToGrid w:val="0"/>
          <w:color w:val="003F5F"/>
          <w:sz w:val="30"/>
          <w:szCs w:val="36"/>
        </w:rPr>
      </w:pPr>
      <w:r>
        <w:rPr>
          <w:snapToGrid w:val="0"/>
        </w:rPr>
        <w:br w:type="page"/>
      </w:r>
    </w:p>
    <w:p w14:paraId="55F1C1AE" w14:textId="77777777" w:rsidR="0034618A" w:rsidRDefault="0034618A" w:rsidP="008C0218">
      <w:pPr>
        <w:pStyle w:val="Heading2"/>
        <w:rPr>
          <w:snapToGrid w:val="0"/>
        </w:rPr>
      </w:pPr>
      <w:bookmarkStart w:id="4" w:name="_Toc467832807"/>
      <w:bookmarkStart w:id="5" w:name="_Toc56425235"/>
      <w:r>
        <w:rPr>
          <w:snapToGrid w:val="0"/>
        </w:rPr>
        <w:lastRenderedPageBreak/>
        <w:t>V2</w:t>
      </w:r>
      <w:r>
        <w:rPr>
          <w:snapToGrid w:val="0"/>
        </w:rPr>
        <w:tab/>
        <w:t>Hardware Requirements</w:t>
      </w:r>
      <w:bookmarkEnd w:id="4"/>
      <w:bookmarkEnd w:id="5"/>
    </w:p>
    <w:p w14:paraId="36A0034F" w14:textId="77777777" w:rsidR="0034618A" w:rsidRPr="00605869" w:rsidRDefault="0034618A" w:rsidP="008C0218">
      <w:pPr>
        <w:pStyle w:val="Heading3"/>
        <w:rPr>
          <w:snapToGrid w:val="0"/>
        </w:rPr>
      </w:pPr>
      <w:r w:rsidRPr="00605869">
        <w:rPr>
          <w:snapToGrid w:val="0"/>
        </w:rPr>
        <w:t>Power Supply</w:t>
      </w:r>
    </w:p>
    <w:p w14:paraId="33ABB209" w14:textId="77777777" w:rsidR="0034618A" w:rsidRDefault="0034618A" w:rsidP="008C0218">
      <w:pPr>
        <w:ind w:left="720" w:hanging="720"/>
        <w:rPr>
          <w:snapToGrid w:val="0"/>
        </w:rPr>
      </w:pPr>
      <w:r>
        <w:rPr>
          <w:snapToGrid w:val="0"/>
        </w:rPr>
        <w:t>V2.1</w:t>
      </w:r>
      <w:r>
        <w:rPr>
          <w:snapToGrid w:val="0"/>
        </w:rPr>
        <w:tab/>
        <w:t>Where a gaming machine cabinet contains more than one power switch, each switch must clearly identify which unit it applies to.</w:t>
      </w:r>
    </w:p>
    <w:p w14:paraId="5CD9CFEB" w14:textId="77777777" w:rsidR="0034618A" w:rsidRPr="00D132FE" w:rsidRDefault="0034618A" w:rsidP="008C0218">
      <w:pPr>
        <w:pStyle w:val="Heading3"/>
        <w:rPr>
          <w:snapToGrid w:val="0"/>
        </w:rPr>
      </w:pPr>
      <w:r>
        <w:rPr>
          <w:snapToGrid w:val="0"/>
        </w:rPr>
        <w:t>Hoppers</w:t>
      </w:r>
    </w:p>
    <w:p w14:paraId="2B0A639B" w14:textId="77777777" w:rsidR="0034618A" w:rsidRDefault="0034618A" w:rsidP="008C0218">
      <w:pPr>
        <w:ind w:left="720" w:hanging="720"/>
        <w:rPr>
          <w:snapToGrid w:val="0"/>
        </w:rPr>
      </w:pPr>
      <w:r w:rsidRPr="007F3818">
        <w:t>V2.</w:t>
      </w:r>
      <w:r>
        <w:t>2</w:t>
      </w:r>
      <w:r w:rsidRPr="007F3818">
        <w:tab/>
      </w:r>
      <w:r w:rsidRPr="00F80422">
        <w:rPr>
          <w:snapToGrid w:val="0"/>
        </w:rPr>
        <w:t xml:space="preserve">The hoppers installed in gaming machines operating in Victorian </w:t>
      </w:r>
      <w:r>
        <w:rPr>
          <w:snapToGrid w:val="0"/>
        </w:rPr>
        <w:t>Club and Hotel</w:t>
      </w:r>
      <w:r w:rsidRPr="00F80422">
        <w:rPr>
          <w:snapToGrid w:val="0"/>
        </w:rPr>
        <w:t xml:space="preserve"> gaming venues shall have a hopper cover. </w:t>
      </w:r>
    </w:p>
    <w:p w14:paraId="489C071A" w14:textId="77777777" w:rsidR="0034618A" w:rsidRPr="008C0218" w:rsidRDefault="0034618A" w:rsidP="008C0218">
      <w:pPr>
        <w:ind w:firstLine="720"/>
        <w:rPr>
          <w:sz w:val="21"/>
          <w:szCs w:val="21"/>
        </w:rPr>
      </w:pPr>
      <w:r w:rsidRPr="008C0218">
        <w:rPr>
          <w:sz w:val="21"/>
          <w:szCs w:val="21"/>
        </w:rPr>
        <w:t>See also V3.5 and V3.6 for relevant software requirements.</w:t>
      </w:r>
    </w:p>
    <w:p w14:paraId="24C94976" w14:textId="77777777" w:rsidR="0034618A" w:rsidRDefault="0034618A" w:rsidP="0034618A">
      <w:pPr>
        <w:rPr>
          <w:b/>
          <w:snapToGrid w:val="0"/>
          <w:color w:val="000000"/>
          <w:sz w:val="28"/>
        </w:rPr>
      </w:pPr>
      <w:r>
        <w:rPr>
          <w:b/>
          <w:snapToGrid w:val="0"/>
          <w:color w:val="000000"/>
          <w:sz w:val="28"/>
        </w:rPr>
        <w:br w:type="page"/>
      </w:r>
    </w:p>
    <w:p w14:paraId="5914059D" w14:textId="77777777" w:rsidR="0034618A" w:rsidRDefault="0034618A" w:rsidP="008C0218">
      <w:pPr>
        <w:pStyle w:val="Heading2"/>
        <w:rPr>
          <w:snapToGrid w:val="0"/>
        </w:rPr>
      </w:pPr>
      <w:bookmarkStart w:id="6" w:name="_Toc467832808"/>
      <w:bookmarkStart w:id="7" w:name="_Toc56425236"/>
      <w:r>
        <w:rPr>
          <w:snapToGrid w:val="0"/>
        </w:rPr>
        <w:lastRenderedPageBreak/>
        <w:t>V3</w:t>
      </w:r>
      <w:r>
        <w:rPr>
          <w:snapToGrid w:val="0"/>
        </w:rPr>
        <w:tab/>
        <w:t>Software Requirements</w:t>
      </w:r>
      <w:bookmarkEnd w:id="6"/>
      <w:bookmarkEnd w:id="7"/>
    </w:p>
    <w:p w14:paraId="70283864" w14:textId="77777777" w:rsidR="0034618A" w:rsidRPr="00F80422" w:rsidRDefault="0034618A" w:rsidP="008C0218">
      <w:pPr>
        <w:pStyle w:val="Heading3"/>
        <w:rPr>
          <w:snapToGrid w:val="0"/>
        </w:rPr>
      </w:pPr>
      <w:r w:rsidRPr="00F80422">
        <w:rPr>
          <w:snapToGrid w:val="0"/>
        </w:rPr>
        <w:t>Software Functions Provided</w:t>
      </w:r>
    </w:p>
    <w:p w14:paraId="520844CB" w14:textId="77777777" w:rsidR="0034618A" w:rsidRDefault="0034618A" w:rsidP="00860E4D">
      <w:pPr>
        <w:ind w:left="720" w:hanging="720"/>
        <w:rPr>
          <w:snapToGrid w:val="0"/>
        </w:rPr>
      </w:pPr>
      <w:r>
        <w:rPr>
          <w:snapToGrid w:val="0"/>
        </w:rPr>
        <w:t>V3.1</w:t>
      </w:r>
      <w:r>
        <w:rPr>
          <w:snapToGrid w:val="0"/>
        </w:rPr>
        <w:tab/>
        <w:t>All implemented functions must operate according to the intended design. All messages displayed must be true and accurate and the software must be free of unintended side effects.</w:t>
      </w:r>
    </w:p>
    <w:p w14:paraId="22441250" w14:textId="77777777" w:rsidR="0034618A" w:rsidRPr="00F80422" w:rsidRDefault="0034618A" w:rsidP="008C0218">
      <w:pPr>
        <w:pStyle w:val="Heading3"/>
        <w:rPr>
          <w:snapToGrid w:val="0"/>
        </w:rPr>
      </w:pPr>
      <w:r w:rsidRPr="00F80422">
        <w:rPr>
          <w:snapToGrid w:val="0"/>
        </w:rPr>
        <w:t>System Security</w:t>
      </w:r>
    </w:p>
    <w:p w14:paraId="287F567D" w14:textId="77777777" w:rsidR="0034618A" w:rsidRPr="00F80422" w:rsidRDefault="0034618A" w:rsidP="008C0218">
      <w:pPr>
        <w:pStyle w:val="Heading3"/>
        <w:rPr>
          <w:snapToGrid w:val="0"/>
        </w:rPr>
      </w:pPr>
      <w:r w:rsidRPr="00F80422">
        <w:rPr>
          <w:snapToGrid w:val="0"/>
        </w:rPr>
        <w:t>De-activation when a Logic Area has Been Accessed</w:t>
      </w:r>
    </w:p>
    <w:p w14:paraId="3825C191" w14:textId="77777777" w:rsidR="0034618A" w:rsidRDefault="0034618A" w:rsidP="00860E4D">
      <w:pPr>
        <w:ind w:left="720" w:hanging="720"/>
        <w:rPr>
          <w:snapToGrid w:val="0"/>
        </w:rPr>
      </w:pPr>
      <w:r>
        <w:rPr>
          <w:snapToGrid w:val="0"/>
        </w:rPr>
        <w:t>V3.2</w:t>
      </w:r>
      <w:r>
        <w:rPr>
          <w:snapToGrid w:val="0"/>
        </w:rPr>
        <w:tab/>
        <w:t xml:space="preserve">When a gaming device determines that a restricted area has been accessed, the device is to deactivate itself until appropriate investigations are conducted, at which time the device may only be re-activated by a method approved by the Commission (see </w:t>
      </w:r>
      <w:r w:rsidRPr="00637DD3">
        <w:rPr>
          <w:snapToGrid w:val="0"/>
        </w:rPr>
        <w:t>V</w:t>
      </w:r>
      <w:r>
        <w:rPr>
          <w:snapToGrid w:val="0"/>
        </w:rPr>
        <w:t>5.4 Logic Area Access, Power-Off Logic Area Access).</w:t>
      </w:r>
    </w:p>
    <w:p w14:paraId="1B7FAE72" w14:textId="77777777" w:rsidR="0034618A" w:rsidRPr="00F80422" w:rsidRDefault="0034618A" w:rsidP="007C56D7">
      <w:pPr>
        <w:pStyle w:val="Heading3"/>
        <w:rPr>
          <w:snapToGrid w:val="0"/>
        </w:rPr>
      </w:pPr>
      <w:r w:rsidRPr="00F80422">
        <w:rPr>
          <w:snapToGrid w:val="0"/>
        </w:rPr>
        <w:t>Software Signature Checking</w:t>
      </w:r>
    </w:p>
    <w:p w14:paraId="0C540BEE" w14:textId="77777777" w:rsidR="0034618A" w:rsidRDefault="0034618A" w:rsidP="008C0218">
      <w:pPr>
        <w:rPr>
          <w:snapToGrid w:val="0"/>
        </w:rPr>
      </w:pPr>
      <w:r>
        <w:rPr>
          <w:snapToGrid w:val="0"/>
        </w:rPr>
        <w:t>V3.3</w:t>
      </w:r>
      <w:r>
        <w:rPr>
          <w:snapToGrid w:val="0"/>
        </w:rPr>
        <w:tab/>
        <w:t>This paragraph deleted.</w:t>
      </w:r>
    </w:p>
    <w:p w14:paraId="0F5A6C00" w14:textId="77777777" w:rsidR="0034618A" w:rsidRPr="00837937" w:rsidRDefault="0034618A" w:rsidP="00860E4D">
      <w:pPr>
        <w:ind w:left="720" w:hanging="720"/>
        <w:rPr>
          <w:i/>
          <w:snapToGrid w:val="0"/>
        </w:rPr>
      </w:pPr>
      <w:r w:rsidRPr="00843E06">
        <w:rPr>
          <w:snapToGrid w:val="0"/>
        </w:rPr>
        <w:t>V3.4</w:t>
      </w:r>
      <w:r w:rsidRPr="00837937">
        <w:rPr>
          <w:i/>
          <w:snapToGrid w:val="0"/>
        </w:rPr>
        <w:tab/>
      </w:r>
      <w:r w:rsidRPr="00696030">
        <w:rPr>
          <w:snapToGrid w:val="0"/>
        </w:rPr>
        <w:t>All memory crucial to the operation of the gaming machine (game application software, communications, operating systems, etc.) must be included in th</w:t>
      </w:r>
      <w:r>
        <w:rPr>
          <w:snapToGrid w:val="0"/>
        </w:rPr>
        <w:t>e software signature check. Non-</w:t>
      </w:r>
      <w:r w:rsidRPr="00696030">
        <w:rPr>
          <w:snapToGrid w:val="0"/>
        </w:rPr>
        <w:t>critical memory (such as graphics) may be excluded, provided it is logically separated.</w:t>
      </w:r>
    </w:p>
    <w:p w14:paraId="1AEDFADE" w14:textId="77777777" w:rsidR="0034618A" w:rsidRPr="00F80422" w:rsidRDefault="0034618A" w:rsidP="007C56D7">
      <w:pPr>
        <w:pStyle w:val="Heading3"/>
        <w:rPr>
          <w:snapToGrid w:val="0"/>
        </w:rPr>
      </w:pPr>
      <w:r w:rsidRPr="00F80422">
        <w:rPr>
          <w:snapToGrid w:val="0"/>
        </w:rPr>
        <w:t>Coin Diverter</w:t>
      </w:r>
    </w:p>
    <w:p w14:paraId="36BDD956" w14:textId="77777777" w:rsidR="0034618A" w:rsidRDefault="0034618A" w:rsidP="00860E4D">
      <w:pPr>
        <w:ind w:left="720" w:hanging="720"/>
        <w:rPr>
          <w:snapToGrid w:val="0"/>
        </w:rPr>
      </w:pPr>
      <w:r>
        <w:rPr>
          <w:snapToGrid w:val="0"/>
        </w:rPr>
        <w:t>V3.5</w:t>
      </w:r>
      <w:r>
        <w:rPr>
          <w:snapToGrid w:val="0"/>
        </w:rPr>
        <w:tab/>
        <w:t>The Commission will not approve any gaming machine without a hopper if the only method of routing coins to the drop box is “software diversion”.</w:t>
      </w:r>
    </w:p>
    <w:p w14:paraId="2C47850C" w14:textId="77777777" w:rsidR="0034618A" w:rsidRPr="00F80422" w:rsidRDefault="0034618A" w:rsidP="007C56D7">
      <w:pPr>
        <w:pStyle w:val="Heading3"/>
        <w:rPr>
          <w:snapToGrid w:val="0"/>
        </w:rPr>
      </w:pPr>
      <w:r w:rsidRPr="00F80422">
        <w:rPr>
          <w:snapToGrid w:val="0"/>
        </w:rPr>
        <w:t>Coin Hopper</w:t>
      </w:r>
    </w:p>
    <w:p w14:paraId="4EC7D7CE" w14:textId="77777777" w:rsidR="0034618A" w:rsidRDefault="0034618A" w:rsidP="00860E4D">
      <w:pPr>
        <w:ind w:left="720" w:hanging="720"/>
        <w:rPr>
          <w:snapToGrid w:val="0"/>
        </w:rPr>
      </w:pPr>
      <w:r>
        <w:rPr>
          <w:snapToGrid w:val="0"/>
        </w:rPr>
        <w:t>V3.6</w:t>
      </w:r>
      <w:r>
        <w:rPr>
          <w:snapToGrid w:val="0"/>
        </w:rPr>
        <w:tab/>
        <w:t>In addition to accounting procedures used by software to determine the level of a hopper, if a hopper full sensor is provided, software must also interpret that sensor output to determine if a hopper is full.</w:t>
      </w:r>
    </w:p>
    <w:p w14:paraId="63AEC763" w14:textId="77777777" w:rsidR="0034618A" w:rsidRPr="00F80422" w:rsidRDefault="0034618A" w:rsidP="00936381">
      <w:pPr>
        <w:pStyle w:val="Heading3"/>
        <w:rPr>
          <w:snapToGrid w:val="0"/>
        </w:rPr>
      </w:pPr>
      <w:r w:rsidRPr="00F80422">
        <w:rPr>
          <w:snapToGrid w:val="0"/>
        </w:rPr>
        <w:t>Credit Redemption</w:t>
      </w:r>
    </w:p>
    <w:p w14:paraId="4323FABB" w14:textId="77777777" w:rsidR="0034618A" w:rsidRPr="00F80422" w:rsidRDefault="0034618A" w:rsidP="00860E4D">
      <w:pPr>
        <w:pStyle w:val="Heading3"/>
        <w:rPr>
          <w:snapToGrid w:val="0"/>
        </w:rPr>
      </w:pPr>
      <w:r w:rsidRPr="00F80422">
        <w:rPr>
          <w:snapToGrid w:val="0"/>
        </w:rPr>
        <w:t>Cash Out While De-activated</w:t>
      </w:r>
    </w:p>
    <w:p w14:paraId="5656A2A3" w14:textId="77777777" w:rsidR="0034618A" w:rsidRPr="00520E62" w:rsidRDefault="0034618A" w:rsidP="00860E4D">
      <w:pPr>
        <w:ind w:left="720" w:hanging="720"/>
        <w:rPr>
          <w:snapToGrid w:val="0"/>
        </w:rPr>
      </w:pPr>
      <w:r>
        <w:rPr>
          <w:snapToGrid w:val="0"/>
        </w:rPr>
        <w:t>V3.7</w:t>
      </w:r>
      <w:r>
        <w:rPr>
          <w:snapToGrid w:val="0"/>
        </w:rPr>
        <w:tab/>
        <w:t>The Commission requires that players who have a non-zero credit balance when de-activation occurs should be given the option to “cash-out” their balance. In the situation where the deactivation may last for a lengthy period of time, if there is enough of the system available at subsidiary points to enable a safe and accurate pay, this may be performed.</w:t>
      </w:r>
    </w:p>
    <w:p w14:paraId="54AA24B9" w14:textId="77777777" w:rsidR="0034618A" w:rsidRPr="00F80422" w:rsidRDefault="0034618A" w:rsidP="00860E4D">
      <w:pPr>
        <w:pStyle w:val="Heading3"/>
        <w:rPr>
          <w:snapToGrid w:val="0"/>
        </w:rPr>
      </w:pPr>
      <w:r w:rsidRPr="00F80422">
        <w:rPr>
          <w:snapToGrid w:val="0"/>
        </w:rPr>
        <w:lastRenderedPageBreak/>
        <w:t>Cash Clearance Procedures</w:t>
      </w:r>
    </w:p>
    <w:p w14:paraId="1E4FC16C" w14:textId="77777777" w:rsidR="0034618A" w:rsidRDefault="0034618A" w:rsidP="00860E4D">
      <w:pPr>
        <w:ind w:left="720" w:hanging="720"/>
        <w:rPr>
          <w:snapToGrid w:val="0"/>
        </w:rPr>
      </w:pPr>
      <w:r>
        <w:rPr>
          <w:snapToGrid w:val="0"/>
        </w:rPr>
        <w:t>V3.8</w:t>
      </w:r>
      <w:r>
        <w:rPr>
          <w:snapToGrid w:val="0"/>
        </w:rPr>
        <w:tab/>
        <w:t>The gaming machine must display the appropriate meter information for cash clearance. The accounting information must be available both for the entire period of operation of the gaming machine (since the last Memory Reset) and since the last Cash (Coin or Note) Clearance.</w:t>
      </w:r>
    </w:p>
    <w:p w14:paraId="74BC1B81" w14:textId="77777777" w:rsidR="0034618A" w:rsidRPr="00F80422" w:rsidRDefault="0034618A" w:rsidP="00860E4D">
      <w:pPr>
        <w:pStyle w:val="Heading3"/>
        <w:rPr>
          <w:snapToGrid w:val="0"/>
        </w:rPr>
      </w:pPr>
      <w:r w:rsidRPr="00F80422">
        <w:rPr>
          <w:snapToGrid w:val="0"/>
        </w:rPr>
        <w:t xml:space="preserve">Stand-Alone Gaming Machines </w:t>
      </w:r>
      <w:proofErr w:type="gramStart"/>
      <w:r w:rsidRPr="00F80422">
        <w:rPr>
          <w:snapToGrid w:val="0"/>
        </w:rPr>
        <w:t>not</w:t>
      </w:r>
      <w:proofErr w:type="gramEnd"/>
      <w:r w:rsidRPr="00F80422">
        <w:rPr>
          <w:snapToGrid w:val="0"/>
        </w:rPr>
        <w:t xml:space="preserve"> Permitted</w:t>
      </w:r>
    </w:p>
    <w:p w14:paraId="700F2648" w14:textId="62535398" w:rsidR="0034618A" w:rsidRPr="00860E4D" w:rsidRDefault="0034618A" w:rsidP="00860E4D">
      <w:pPr>
        <w:ind w:left="720" w:hanging="720"/>
        <w:rPr>
          <w:snapToGrid w:val="0"/>
          <w:sz w:val="20"/>
        </w:rPr>
      </w:pPr>
      <w:r>
        <w:rPr>
          <w:snapToGrid w:val="0"/>
        </w:rPr>
        <w:t>V3.9</w:t>
      </w:r>
      <w:r>
        <w:rPr>
          <w:snapToGrid w:val="0"/>
        </w:rPr>
        <w:tab/>
        <w:t>Installed gaming machines must at all times, while in operational mode (where valid game play is possible), be in on-line communication with the CMCS.</w:t>
      </w:r>
    </w:p>
    <w:p w14:paraId="103C8554" w14:textId="77777777" w:rsidR="0034618A" w:rsidRPr="00F80422" w:rsidRDefault="0034618A" w:rsidP="00860E4D">
      <w:pPr>
        <w:pStyle w:val="Heading3"/>
      </w:pPr>
      <w:r>
        <w:t>Substantial Wins</w:t>
      </w:r>
    </w:p>
    <w:p w14:paraId="7CD3B404" w14:textId="77777777" w:rsidR="0034618A" w:rsidRPr="00860E4D" w:rsidRDefault="0034618A" w:rsidP="0034618A">
      <w:pPr>
        <w:keepNext/>
        <w:jc w:val="both"/>
        <w:rPr>
          <w:rFonts w:ascii="Arial" w:hAnsi="Arial" w:cs="Arial"/>
          <w:snapToGrid w:val="0"/>
          <w:color w:val="000000"/>
          <w:sz w:val="21"/>
          <w:szCs w:val="22"/>
        </w:rPr>
      </w:pPr>
      <w:r w:rsidRPr="00860E4D">
        <w:rPr>
          <w:rFonts w:ascii="Arial" w:hAnsi="Arial" w:cs="Arial"/>
          <w:snapToGrid w:val="0"/>
          <w:color w:val="000000"/>
          <w:sz w:val="21"/>
          <w:szCs w:val="22"/>
        </w:rPr>
        <w:t xml:space="preserve">See also </w:t>
      </w:r>
      <w:r w:rsidRPr="00860E4D">
        <w:rPr>
          <w:rFonts w:ascii="Arial" w:hAnsi="Arial" w:cs="Arial"/>
          <w:i/>
          <w:snapToGrid w:val="0"/>
          <w:sz w:val="21"/>
          <w:szCs w:val="22"/>
        </w:rPr>
        <w:t>National Standard Section 6.106</w:t>
      </w:r>
    </w:p>
    <w:p w14:paraId="60ADE8C0" w14:textId="77777777" w:rsidR="0034618A" w:rsidRDefault="0034618A" w:rsidP="00860E4D">
      <w:pPr>
        <w:ind w:left="720" w:hanging="720"/>
      </w:pPr>
      <w:r>
        <w:t>V3.10</w:t>
      </w:r>
      <w:r>
        <w:tab/>
        <w:t>Substantial Wins must cause the gaming machine to enter a lock-up mode until external intervention, i.e. use of attendant key and, after system software verification by the central monitoring and control system, “game enabled” command.</w:t>
      </w:r>
    </w:p>
    <w:p w14:paraId="0AC6EBCA" w14:textId="77777777" w:rsidR="0034618A" w:rsidRPr="00F80422" w:rsidRDefault="0034618A" w:rsidP="00860E4D">
      <w:pPr>
        <w:pStyle w:val="Heading3"/>
      </w:pPr>
      <w:r w:rsidRPr="00F80422">
        <w:t>Credit Redemption</w:t>
      </w:r>
    </w:p>
    <w:p w14:paraId="0C50564A" w14:textId="77777777" w:rsidR="0034618A" w:rsidRPr="00D1442B" w:rsidRDefault="0034618A" w:rsidP="0034618A">
      <w:pPr>
        <w:jc w:val="both"/>
        <w:rPr>
          <w:rFonts w:ascii="Arial" w:hAnsi="Arial" w:cs="Arial"/>
          <w:snapToGrid w:val="0"/>
          <w:color w:val="000000"/>
        </w:rPr>
      </w:pPr>
      <w:r w:rsidRPr="00D1442B">
        <w:rPr>
          <w:rFonts w:ascii="Arial" w:hAnsi="Arial" w:cs="Arial"/>
          <w:snapToGrid w:val="0"/>
          <w:color w:val="000000"/>
        </w:rPr>
        <w:t xml:space="preserve">See also </w:t>
      </w:r>
      <w:r w:rsidRPr="00E25A93">
        <w:rPr>
          <w:rFonts w:ascii="Arial" w:hAnsi="Arial" w:cs="Arial"/>
          <w:i/>
          <w:snapToGrid w:val="0"/>
        </w:rPr>
        <w:t>National Standard Section</w:t>
      </w:r>
      <w:r>
        <w:rPr>
          <w:rFonts w:ascii="Arial" w:hAnsi="Arial" w:cs="Arial"/>
          <w:i/>
          <w:snapToGrid w:val="0"/>
          <w:color w:val="000080"/>
        </w:rPr>
        <w:t xml:space="preserve"> </w:t>
      </w:r>
      <w:r w:rsidRPr="00E25A93">
        <w:rPr>
          <w:rFonts w:ascii="Arial" w:hAnsi="Arial" w:cs="Arial"/>
          <w:i/>
          <w:snapToGrid w:val="0"/>
          <w:color w:val="000000"/>
        </w:rPr>
        <w:t>6.50</w:t>
      </w:r>
    </w:p>
    <w:p w14:paraId="010B0750" w14:textId="77777777" w:rsidR="0034618A" w:rsidRDefault="0034618A" w:rsidP="00860E4D">
      <w:pPr>
        <w:ind w:left="360" w:hanging="360"/>
        <w:rPr>
          <w:snapToGrid w:val="0"/>
        </w:rPr>
      </w:pPr>
      <w:r>
        <w:rPr>
          <w:snapToGrid w:val="0"/>
        </w:rPr>
        <w:t>V3.11</w:t>
      </w:r>
      <w:r>
        <w:tab/>
      </w:r>
      <w:r>
        <w:rPr>
          <w:snapToGrid w:val="0"/>
        </w:rPr>
        <w:t>Available credits may be collected from the gaming machine by the patron pressing the “COLLECT” button at any time other than:</w:t>
      </w:r>
    </w:p>
    <w:p w14:paraId="1F2444E8"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during a play;</w:t>
      </w:r>
    </w:p>
    <w:p w14:paraId="4D743EA4"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in Audit mode;</w:t>
      </w:r>
    </w:p>
    <w:p w14:paraId="7F93EE0E"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any door open condition exists;</w:t>
      </w:r>
    </w:p>
    <w:p w14:paraId="69209AC0"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in Test mode;</w:t>
      </w:r>
    </w:p>
    <w:p w14:paraId="22DDA7C5"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the player’s Credit Meter or Total Wins Meter is incrementing;</w:t>
      </w:r>
    </w:p>
    <w:p w14:paraId="2C79F940" w14:textId="77777777" w:rsidR="0034618A" w:rsidRPr="00860E4D" w:rsidRDefault="0034618A" w:rsidP="0034618A">
      <w:pPr>
        <w:pStyle w:val="ListParagraph"/>
        <w:numPr>
          <w:ilvl w:val="0"/>
          <w:numId w:val="34"/>
        </w:numPr>
        <w:autoSpaceDE w:val="0"/>
        <w:autoSpaceDN w:val="0"/>
        <w:adjustRightInd w:val="0"/>
        <w:spacing w:after="0" w:line="240" w:lineRule="auto"/>
        <w:rPr>
          <w:rFonts w:ascii="Arial" w:hAnsi="Arial" w:cs="Arial"/>
          <w:sz w:val="21"/>
          <w:szCs w:val="21"/>
          <w:lang w:val="en-US"/>
        </w:rPr>
      </w:pPr>
      <w:r w:rsidRPr="00860E4D">
        <w:rPr>
          <w:rFonts w:ascii="Arial" w:hAnsi="Arial" w:cs="Arial"/>
          <w:sz w:val="21"/>
          <w:szCs w:val="21"/>
          <w:lang w:val="en-US"/>
        </w:rPr>
        <w:t>while the game is in Player Information Display (PID) mode, or</w:t>
      </w:r>
    </w:p>
    <w:p w14:paraId="5E5BC711" w14:textId="77777777" w:rsidR="0034618A" w:rsidRPr="00860E4D" w:rsidRDefault="0034618A" w:rsidP="0034618A">
      <w:pPr>
        <w:pStyle w:val="ListParagraph"/>
        <w:numPr>
          <w:ilvl w:val="0"/>
          <w:numId w:val="34"/>
        </w:numPr>
        <w:autoSpaceDE w:val="0"/>
        <w:autoSpaceDN w:val="0"/>
        <w:adjustRightInd w:val="0"/>
        <w:spacing w:after="0" w:line="240" w:lineRule="auto"/>
        <w:rPr>
          <w:rFonts w:ascii="Arial" w:hAnsi="Arial" w:cs="Arial"/>
          <w:sz w:val="21"/>
          <w:szCs w:val="21"/>
          <w:lang w:val="en-US"/>
        </w:rPr>
      </w:pPr>
      <w:r w:rsidRPr="00860E4D">
        <w:rPr>
          <w:rFonts w:ascii="Arial" w:hAnsi="Arial" w:cs="Arial"/>
          <w:sz w:val="21"/>
          <w:szCs w:val="21"/>
          <w:lang w:val="en-US"/>
        </w:rPr>
        <w:t>while the EGM has lost the communication to the host and is not in a logic door access detection state</w:t>
      </w:r>
    </w:p>
    <w:p w14:paraId="01F0C793" w14:textId="77777777" w:rsidR="0034618A" w:rsidRPr="00860E4D" w:rsidRDefault="0034618A" w:rsidP="0034618A">
      <w:pPr>
        <w:pStyle w:val="ListParagraph"/>
        <w:numPr>
          <w:ilvl w:val="0"/>
          <w:numId w:val="34"/>
        </w:numPr>
        <w:autoSpaceDE w:val="0"/>
        <w:autoSpaceDN w:val="0"/>
        <w:adjustRightInd w:val="0"/>
        <w:spacing w:after="0" w:line="240" w:lineRule="auto"/>
        <w:rPr>
          <w:rFonts w:ascii="Arial" w:hAnsi="Arial" w:cs="Arial"/>
          <w:sz w:val="21"/>
          <w:szCs w:val="21"/>
          <w:lang w:val="en-US"/>
        </w:rPr>
      </w:pPr>
      <w:r w:rsidRPr="00860E4D">
        <w:rPr>
          <w:rFonts w:ascii="Arial" w:hAnsi="Arial" w:cs="Arial"/>
          <w:sz w:val="21"/>
          <w:szCs w:val="21"/>
          <w:lang w:val="en-US"/>
        </w:rPr>
        <w:t xml:space="preserve">while any fault condition exists </w:t>
      </w:r>
    </w:p>
    <w:p w14:paraId="0D24F134" w14:textId="77777777" w:rsidR="0034618A" w:rsidRPr="00860E4D" w:rsidRDefault="0034618A" w:rsidP="0034618A">
      <w:pPr>
        <w:autoSpaceDE w:val="0"/>
        <w:autoSpaceDN w:val="0"/>
        <w:adjustRightInd w:val="0"/>
        <w:ind w:left="720"/>
        <w:rPr>
          <w:rFonts w:ascii="Arial" w:hAnsi="Arial" w:cs="Arial"/>
          <w:sz w:val="21"/>
          <w:szCs w:val="21"/>
          <w:lang w:val="en-US"/>
        </w:rPr>
      </w:pPr>
      <w:r w:rsidRPr="00860E4D">
        <w:rPr>
          <w:rFonts w:ascii="Arial" w:hAnsi="Arial" w:cs="Arial"/>
          <w:sz w:val="21"/>
          <w:szCs w:val="21"/>
          <w:lang w:val="en-US"/>
        </w:rPr>
        <w:t>(Notwithstanding V3.11(h), at the manufacturer’s discretion, credits may be collected from the gaming machine if the only existing fault condition(s) is(are</w:t>
      </w:r>
      <w:proofErr w:type="gramStart"/>
      <w:r w:rsidRPr="00860E4D">
        <w:rPr>
          <w:rFonts w:ascii="Arial" w:hAnsi="Arial" w:cs="Arial"/>
          <w:sz w:val="21"/>
          <w:szCs w:val="21"/>
          <w:lang w:val="en-US"/>
        </w:rPr>
        <w:t>):-</w:t>
      </w:r>
      <w:proofErr w:type="gramEnd"/>
    </w:p>
    <w:p w14:paraId="5D45FE1B" w14:textId="77777777" w:rsidR="0034618A" w:rsidRPr="00860E4D" w:rsidRDefault="0034618A" w:rsidP="0034618A">
      <w:pPr>
        <w:autoSpaceDE w:val="0"/>
        <w:autoSpaceDN w:val="0"/>
        <w:adjustRightInd w:val="0"/>
        <w:ind w:left="1440"/>
        <w:rPr>
          <w:rFonts w:ascii="Arial" w:hAnsi="Arial" w:cs="Arial"/>
          <w:sz w:val="21"/>
          <w:szCs w:val="21"/>
          <w:lang w:val="en-US"/>
        </w:rPr>
      </w:pPr>
      <w:proofErr w:type="spellStart"/>
      <w:r w:rsidRPr="00860E4D">
        <w:rPr>
          <w:rFonts w:ascii="Arial" w:hAnsi="Arial" w:cs="Arial"/>
          <w:sz w:val="21"/>
          <w:szCs w:val="21"/>
          <w:lang w:val="en-US"/>
        </w:rPr>
        <w:t>i</w:t>
      </w:r>
      <w:proofErr w:type="spellEnd"/>
      <w:r w:rsidRPr="00860E4D">
        <w:rPr>
          <w:rFonts w:ascii="Arial" w:hAnsi="Arial" w:cs="Arial"/>
          <w:sz w:val="21"/>
          <w:szCs w:val="21"/>
          <w:lang w:val="en-US"/>
        </w:rPr>
        <w:t>) ticket printer failure/paper error,</w:t>
      </w:r>
    </w:p>
    <w:p w14:paraId="613234B4" w14:textId="77777777" w:rsidR="0034618A" w:rsidRPr="00860E4D" w:rsidRDefault="0034618A" w:rsidP="0034618A">
      <w:pPr>
        <w:autoSpaceDE w:val="0"/>
        <w:autoSpaceDN w:val="0"/>
        <w:adjustRightInd w:val="0"/>
        <w:ind w:left="1440"/>
        <w:rPr>
          <w:rFonts w:ascii="Arial" w:hAnsi="Arial" w:cs="Arial"/>
          <w:sz w:val="21"/>
          <w:szCs w:val="21"/>
          <w:lang w:val="en-US"/>
        </w:rPr>
      </w:pPr>
      <w:r w:rsidRPr="00860E4D">
        <w:rPr>
          <w:rFonts w:ascii="Arial" w:hAnsi="Arial" w:cs="Arial"/>
          <w:sz w:val="21"/>
          <w:szCs w:val="21"/>
          <w:lang w:val="en-US"/>
        </w:rPr>
        <w:t>ii) progressive controller error, or</w:t>
      </w:r>
    </w:p>
    <w:p w14:paraId="5E1CC551" w14:textId="77777777" w:rsidR="0034618A" w:rsidRPr="00860E4D" w:rsidRDefault="0034618A" w:rsidP="0034618A">
      <w:pPr>
        <w:ind w:left="1440"/>
        <w:rPr>
          <w:rFonts w:ascii="Arial" w:hAnsi="Arial" w:cs="Arial"/>
          <w:sz w:val="21"/>
          <w:szCs w:val="21"/>
          <w:lang w:val="en-US"/>
        </w:rPr>
      </w:pPr>
      <w:r w:rsidRPr="00860E4D">
        <w:rPr>
          <w:rFonts w:ascii="Arial" w:hAnsi="Arial" w:cs="Arial"/>
          <w:sz w:val="21"/>
          <w:szCs w:val="21"/>
          <w:lang w:val="en-US"/>
        </w:rPr>
        <w:t>iii) banknote acceptor full.)</w:t>
      </w:r>
    </w:p>
    <w:p w14:paraId="10CA8BCC" w14:textId="77777777" w:rsidR="0034618A" w:rsidRPr="00F80422" w:rsidRDefault="0034618A" w:rsidP="00860E4D">
      <w:pPr>
        <w:pStyle w:val="Heading3"/>
      </w:pPr>
      <w:r w:rsidRPr="00F80422">
        <w:t>Last Play Information Required</w:t>
      </w:r>
    </w:p>
    <w:p w14:paraId="4561BCA5" w14:textId="77777777" w:rsidR="0034618A" w:rsidRPr="00297D75" w:rsidRDefault="0034618A" w:rsidP="0034618A">
      <w:pPr>
        <w:jc w:val="both"/>
        <w:rPr>
          <w:rFonts w:ascii="Arial" w:hAnsi="Arial" w:cs="Arial"/>
          <w:b/>
          <w:i/>
          <w:snapToGrid w:val="0"/>
          <w:color w:val="000000"/>
        </w:rPr>
      </w:pPr>
      <w:r>
        <w:rPr>
          <w:rFonts w:ascii="Arial" w:hAnsi="Arial" w:cs="Arial"/>
          <w:b/>
          <w:i/>
          <w:snapToGrid w:val="0"/>
          <w:color w:val="000000"/>
        </w:rPr>
        <w:t>Refer to</w:t>
      </w:r>
      <w:r w:rsidRPr="00297D75">
        <w:rPr>
          <w:rFonts w:ascii="Arial" w:hAnsi="Arial" w:cs="Arial"/>
          <w:b/>
          <w:i/>
          <w:snapToGrid w:val="0"/>
          <w:color w:val="000000"/>
        </w:rPr>
        <w:t xml:space="preserve"> </w:t>
      </w:r>
      <w:r w:rsidRPr="00E25A93">
        <w:rPr>
          <w:rFonts w:ascii="Arial" w:hAnsi="Arial" w:cs="Arial"/>
          <w:b/>
          <w:i/>
          <w:snapToGrid w:val="0"/>
        </w:rPr>
        <w:t>National Standard Section 7.15.</w:t>
      </w:r>
    </w:p>
    <w:p w14:paraId="518ECDDF" w14:textId="77777777" w:rsidR="0034618A" w:rsidRDefault="0034618A" w:rsidP="00860E4D">
      <w:r>
        <w:t>V3.12</w:t>
      </w:r>
      <w:r>
        <w:tab/>
        <w:t xml:space="preserve">After </w:t>
      </w:r>
      <w:r w:rsidRPr="00E25A93">
        <w:t>subsection (k) of the N</w:t>
      </w:r>
      <w:r>
        <w:t xml:space="preserve">ational </w:t>
      </w:r>
      <w:r w:rsidRPr="00E25A93">
        <w:t>S</w:t>
      </w:r>
      <w:r>
        <w:t>tandard</w:t>
      </w:r>
      <w:r w:rsidRPr="00E25A93">
        <w:t xml:space="preserve"> section 7.15</w:t>
      </w:r>
      <w:r>
        <w:t>, insert:</w:t>
      </w:r>
    </w:p>
    <w:p w14:paraId="6E7CCC3C" w14:textId="77777777" w:rsidR="0034618A" w:rsidRDefault="0034618A" w:rsidP="00860E4D">
      <w:pPr>
        <w:pStyle w:val="ListParagraph"/>
        <w:rPr>
          <w:snapToGrid w:val="0"/>
        </w:rPr>
      </w:pPr>
      <w:r>
        <w:t>“</w:t>
      </w:r>
      <w:r w:rsidRPr="008951BD">
        <w:t xml:space="preserve">l). </w:t>
      </w:r>
      <w:r w:rsidRPr="008951BD">
        <w:rPr>
          <w:snapToGrid w:val="0"/>
        </w:rPr>
        <w:t>the total number of external bonus/jackpot credits paid directly to the credit meter in dollars and cents as a result of the last play and obvious to the player (e</w:t>
      </w:r>
      <w:r>
        <w:rPr>
          <w:snapToGrid w:val="0"/>
        </w:rPr>
        <w:t>.</w:t>
      </w:r>
      <w:r w:rsidRPr="008951BD">
        <w:rPr>
          <w:snapToGrid w:val="0"/>
        </w:rPr>
        <w:t>g</w:t>
      </w:r>
      <w:r>
        <w:rPr>
          <w:snapToGrid w:val="0"/>
        </w:rPr>
        <w:t>.</w:t>
      </w:r>
      <w:r w:rsidRPr="008951BD">
        <w:rPr>
          <w:snapToGrid w:val="0"/>
        </w:rPr>
        <w:t xml:space="preserve"> where the credit meter has been incremented).</w:t>
      </w:r>
      <w:r>
        <w:rPr>
          <w:snapToGrid w:val="0"/>
        </w:rPr>
        <w:t>”</w:t>
      </w:r>
    </w:p>
    <w:p w14:paraId="44B40D09" w14:textId="77777777" w:rsidR="0034618A" w:rsidRPr="00F80422" w:rsidRDefault="0034618A" w:rsidP="00860E4D">
      <w:pPr>
        <w:pStyle w:val="Heading3"/>
      </w:pPr>
      <w:r w:rsidRPr="00F80422">
        <w:lastRenderedPageBreak/>
        <w:t>Non-Fault Gaming Machine Events (Where Substantial Win occurs)</w:t>
      </w:r>
    </w:p>
    <w:p w14:paraId="4A64FA32" w14:textId="77777777" w:rsidR="0034618A" w:rsidRPr="00297D75" w:rsidRDefault="0034618A" w:rsidP="0034618A">
      <w:pPr>
        <w:jc w:val="both"/>
        <w:rPr>
          <w:rFonts w:ascii="Arial" w:hAnsi="Arial" w:cs="Arial"/>
          <w:b/>
          <w:i/>
          <w:snapToGrid w:val="0"/>
          <w:color w:val="000000"/>
        </w:rPr>
      </w:pPr>
      <w:r w:rsidRPr="008951BD">
        <w:rPr>
          <w:rFonts w:ascii="Arial" w:hAnsi="Arial" w:cs="Arial"/>
          <w:b/>
          <w:i/>
          <w:snapToGrid w:val="0"/>
        </w:rPr>
        <w:t>See also National Standard Section 6.77.</w:t>
      </w:r>
    </w:p>
    <w:p w14:paraId="1EDF2788" w14:textId="77777777" w:rsidR="0034618A" w:rsidRDefault="0034618A" w:rsidP="00860E4D">
      <w:pPr>
        <w:ind w:left="720" w:hanging="720"/>
      </w:pPr>
      <w:r>
        <w:t>V3.13</w:t>
      </w:r>
      <w:r>
        <w:tab/>
        <w:t>Under “Cleared By” Column change “Cleared by an attendant” to “Cleared by an attendant only after a system software verification by the central monitoring and control system followed by a ‘game enabled’ command”.</w:t>
      </w:r>
    </w:p>
    <w:p w14:paraId="71FC5E4D" w14:textId="77777777" w:rsidR="0034618A" w:rsidRDefault="0034618A" w:rsidP="0034618A">
      <w:pPr>
        <w:rPr>
          <w:sz w:val="32"/>
        </w:rPr>
      </w:pPr>
      <w:r>
        <w:rPr>
          <w:sz w:val="32"/>
        </w:rPr>
        <w:br w:type="page"/>
      </w:r>
    </w:p>
    <w:p w14:paraId="79BA9E44" w14:textId="77777777" w:rsidR="0034618A" w:rsidRDefault="0034618A" w:rsidP="00860E4D">
      <w:pPr>
        <w:pStyle w:val="Heading2"/>
      </w:pPr>
      <w:bookmarkStart w:id="8" w:name="_Toc467832809"/>
      <w:bookmarkStart w:id="9" w:name="_Toc56425237"/>
      <w:r>
        <w:lastRenderedPageBreak/>
        <w:t>V4</w:t>
      </w:r>
      <w:r>
        <w:tab/>
        <w:t>Game Design Requirements</w:t>
      </w:r>
      <w:bookmarkEnd w:id="8"/>
      <w:bookmarkEnd w:id="9"/>
    </w:p>
    <w:p w14:paraId="07567EEF" w14:textId="77777777" w:rsidR="0034618A" w:rsidRDefault="0034618A" w:rsidP="00860E4D">
      <w:pPr>
        <w:ind w:left="720" w:hanging="720"/>
        <w:rPr>
          <w:snapToGrid w:val="0"/>
        </w:rPr>
      </w:pPr>
      <w:r>
        <w:rPr>
          <w:snapToGrid w:val="0"/>
        </w:rPr>
        <w:t>V4.1</w:t>
      </w:r>
      <w:r>
        <w:rPr>
          <w:snapToGrid w:val="0"/>
        </w:rPr>
        <w:tab/>
        <w:t>When transferring progressive prizes to the player’s credit meter, any residual amount less than the base credit value not transferred to the player’s credit meter must be incorporated into the next progressive prize.</w:t>
      </w:r>
    </w:p>
    <w:p w14:paraId="1C503D6A" w14:textId="77777777" w:rsidR="0034618A" w:rsidRPr="005D6D6E" w:rsidRDefault="0034618A" w:rsidP="00860E4D">
      <w:pPr>
        <w:pStyle w:val="Heading3"/>
        <w:rPr>
          <w:snapToGrid w:val="0"/>
        </w:rPr>
      </w:pPr>
      <w:r w:rsidRPr="005D6D6E">
        <w:rPr>
          <w:snapToGrid w:val="0"/>
        </w:rPr>
        <w:t>Large Win Prize Truncation</w:t>
      </w:r>
    </w:p>
    <w:p w14:paraId="4D50D3E3" w14:textId="77777777" w:rsidR="0034618A" w:rsidRDefault="0034618A" w:rsidP="00D3102F">
      <w:pPr>
        <w:ind w:left="720" w:hanging="720"/>
        <w:rPr>
          <w:snapToGrid w:val="0"/>
        </w:rPr>
      </w:pPr>
      <w:r>
        <w:rPr>
          <w:snapToGrid w:val="0"/>
        </w:rPr>
        <w:t>V4.2</w:t>
      </w:r>
      <w:r>
        <w:rPr>
          <w:snapToGrid w:val="0"/>
        </w:rPr>
        <w:tab/>
        <w:t>In no circumstances should a large win have its prize amount truncated or limited due to constraints of a game rule, gaming machine’s memory storage, screen display, artwork or any other such reason. If there are possible prizes that may exceed a program limit or constraint, the prize table and/or maximum wagers for a game must be structured such that the highest win cannot exceed this limit. Permitted exceptions are re-spin/free games which provide a possible infinite prize but where the probability of this occurrence is infinitesimal.</w:t>
      </w:r>
    </w:p>
    <w:p w14:paraId="30DD9723" w14:textId="77777777" w:rsidR="0034618A" w:rsidRPr="005D6D6E" w:rsidRDefault="0034618A" w:rsidP="00D3102F">
      <w:pPr>
        <w:pStyle w:val="Heading3"/>
        <w:rPr>
          <w:snapToGrid w:val="0"/>
        </w:rPr>
      </w:pPr>
      <w:r w:rsidRPr="005D6D6E">
        <w:rPr>
          <w:snapToGrid w:val="0"/>
        </w:rPr>
        <w:t>Random Prize</w:t>
      </w:r>
    </w:p>
    <w:p w14:paraId="3FFBF43B" w14:textId="77777777" w:rsidR="0034618A" w:rsidRPr="00DE59B1" w:rsidRDefault="0034618A" w:rsidP="0034618A">
      <w:pPr>
        <w:jc w:val="both"/>
        <w:rPr>
          <w:rFonts w:ascii="Arial" w:hAnsi="Arial" w:cs="Arial"/>
          <w:snapToGrid w:val="0"/>
        </w:rPr>
      </w:pPr>
      <w:r w:rsidRPr="00DE59B1">
        <w:rPr>
          <w:rFonts w:ascii="Arial" w:hAnsi="Arial" w:cs="Arial"/>
          <w:b/>
          <w:i/>
          <w:snapToGrid w:val="0"/>
        </w:rPr>
        <w:t xml:space="preserve">See also </w:t>
      </w:r>
      <w:r>
        <w:rPr>
          <w:rFonts w:ascii="Arial" w:hAnsi="Arial" w:cs="Arial"/>
          <w:b/>
          <w:i/>
          <w:snapToGrid w:val="0"/>
        </w:rPr>
        <w:t>National Standard</w:t>
      </w:r>
      <w:r w:rsidRPr="00DE59B1">
        <w:rPr>
          <w:rFonts w:ascii="Arial" w:hAnsi="Arial" w:cs="Arial"/>
          <w:b/>
          <w:i/>
          <w:snapToGrid w:val="0"/>
        </w:rPr>
        <w:t xml:space="preserve"> Section 5.31</w:t>
      </w:r>
    </w:p>
    <w:p w14:paraId="3FD53F18" w14:textId="77777777" w:rsidR="0034618A" w:rsidRPr="000047DE" w:rsidRDefault="0034618A" w:rsidP="00D3102F">
      <w:pPr>
        <w:ind w:left="720" w:hanging="720"/>
      </w:pPr>
      <w:r w:rsidRPr="000047DE">
        <w:t>V4.3</w:t>
      </w:r>
      <w:r w:rsidRPr="000047DE">
        <w:tab/>
        <w:t>A game may offer random prizes (fixed value prizes that are awarded at random following a spin, that are not symbol-driven and not part of a stand-alone progressive jackpot or a linked jackpot arrangement) provided that:</w:t>
      </w:r>
    </w:p>
    <w:p w14:paraId="72E25661" w14:textId="77777777" w:rsidR="0034618A" w:rsidRPr="00D3102F" w:rsidRDefault="0034618A" w:rsidP="0034618A">
      <w:pPr>
        <w:pStyle w:val="ListParagraph"/>
        <w:numPr>
          <w:ilvl w:val="0"/>
          <w:numId w:val="35"/>
        </w:numPr>
        <w:autoSpaceDE w:val="0"/>
        <w:autoSpaceDN w:val="0"/>
        <w:adjustRightInd w:val="0"/>
        <w:spacing w:after="0" w:line="240" w:lineRule="auto"/>
        <w:jc w:val="both"/>
        <w:rPr>
          <w:rFonts w:ascii="Arial" w:hAnsi="Arial" w:cs="Arial"/>
          <w:color w:val="000000"/>
          <w:sz w:val="21"/>
          <w:szCs w:val="21"/>
        </w:rPr>
      </w:pPr>
      <w:r w:rsidRPr="00D3102F">
        <w:rPr>
          <w:rFonts w:ascii="Arial" w:hAnsi="Arial" w:cs="Arial"/>
          <w:color w:val="000000"/>
          <w:sz w:val="21"/>
          <w:szCs w:val="21"/>
        </w:rPr>
        <w:t>all plays (regardless of number of lines or credits staked) have an opportunity to win the prize; and</w:t>
      </w:r>
    </w:p>
    <w:p w14:paraId="7018BF32" w14:textId="77777777" w:rsidR="0034618A" w:rsidRPr="00D3102F" w:rsidRDefault="0034618A" w:rsidP="0034618A">
      <w:pPr>
        <w:pStyle w:val="ListParagraph"/>
        <w:numPr>
          <w:ilvl w:val="0"/>
          <w:numId w:val="35"/>
        </w:numPr>
        <w:autoSpaceDE w:val="0"/>
        <w:autoSpaceDN w:val="0"/>
        <w:adjustRightInd w:val="0"/>
        <w:spacing w:after="0" w:line="240" w:lineRule="auto"/>
        <w:jc w:val="both"/>
        <w:rPr>
          <w:rFonts w:ascii="Arial" w:hAnsi="Arial" w:cs="Arial"/>
          <w:color w:val="000000"/>
          <w:sz w:val="21"/>
          <w:szCs w:val="21"/>
        </w:rPr>
      </w:pPr>
      <w:r w:rsidRPr="00D3102F">
        <w:rPr>
          <w:rFonts w:ascii="Arial" w:hAnsi="Arial" w:cs="Arial"/>
          <w:color w:val="000000"/>
          <w:sz w:val="21"/>
          <w:szCs w:val="21"/>
        </w:rPr>
        <w:t>the chance of winning the prize is proportional to the credits bet.</w:t>
      </w:r>
    </w:p>
    <w:p w14:paraId="006BDA07" w14:textId="77777777" w:rsidR="0034618A" w:rsidRPr="003834C7" w:rsidRDefault="0034618A" w:rsidP="00D3102F">
      <w:pPr>
        <w:pStyle w:val="Heading3"/>
        <w:rPr>
          <w:snapToGrid w:val="0"/>
        </w:rPr>
      </w:pPr>
      <w:r w:rsidRPr="003834C7">
        <w:rPr>
          <w:snapToGrid w:val="0"/>
        </w:rPr>
        <w:t>Multi-line Games</w:t>
      </w:r>
      <w:r>
        <w:rPr>
          <w:snapToGrid w:val="0"/>
        </w:rPr>
        <w:t xml:space="preserve"> </w:t>
      </w:r>
      <w:r>
        <w:rPr>
          <w:rFonts w:hint="eastAsia"/>
          <w:snapToGrid w:val="0"/>
        </w:rPr>
        <w:t>–</w:t>
      </w:r>
      <w:r>
        <w:rPr>
          <w:snapToGrid w:val="0"/>
        </w:rPr>
        <w:t xml:space="preserve"> </w:t>
      </w:r>
      <w:r w:rsidRPr="003834C7">
        <w:rPr>
          <w:snapToGrid w:val="0"/>
        </w:rPr>
        <w:t xml:space="preserve">Display of Lines Selected </w:t>
      </w:r>
    </w:p>
    <w:p w14:paraId="4497F192" w14:textId="77777777" w:rsidR="0034618A" w:rsidRPr="003834C7" w:rsidRDefault="0034618A" w:rsidP="0034618A">
      <w:pPr>
        <w:jc w:val="both"/>
        <w:rPr>
          <w:rFonts w:ascii="Arial" w:hAnsi="Arial" w:cs="Arial"/>
          <w:b/>
          <w:i/>
          <w:snapToGrid w:val="0"/>
        </w:rPr>
      </w:pPr>
      <w:r w:rsidRPr="003834C7">
        <w:rPr>
          <w:rFonts w:ascii="Arial" w:hAnsi="Arial" w:cs="Arial"/>
          <w:b/>
          <w:i/>
          <w:snapToGrid w:val="0"/>
        </w:rPr>
        <w:t xml:space="preserve">See also National Standard Section </w:t>
      </w:r>
      <w:r>
        <w:rPr>
          <w:rFonts w:ascii="Arial" w:hAnsi="Arial" w:cs="Arial"/>
          <w:b/>
          <w:i/>
          <w:snapToGrid w:val="0"/>
        </w:rPr>
        <w:t>4.4 and 4.5</w:t>
      </w:r>
    </w:p>
    <w:p w14:paraId="141B3C45" w14:textId="77777777" w:rsidR="0034618A" w:rsidRDefault="0034618A" w:rsidP="00D3102F">
      <w:pPr>
        <w:ind w:left="720" w:hanging="720"/>
      </w:pPr>
      <w:r>
        <w:t>V4.4</w:t>
      </w:r>
      <w:r>
        <w:tab/>
      </w:r>
      <w:r w:rsidRPr="003834C7">
        <w:t xml:space="preserve">In regard to multi-line games, each individual possible line which is activated </w:t>
      </w:r>
      <w:r>
        <w:t>(</w:t>
      </w:r>
      <w:r w:rsidRPr="003834C7">
        <w:t>as a lit selected line</w:t>
      </w:r>
      <w:r>
        <w:t>/pattern/reel),</w:t>
      </w:r>
      <w:r w:rsidRPr="003834C7">
        <w:t xml:space="preserve"> by betting additional</w:t>
      </w:r>
      <w:r>
        <w:t xml:space="preserve"> or current</w:t>
      </w:r>
      <w:r w:rsidRPr="003834C7">
        <w:t xml:space="preserve"> credits</w:t>
      </w:r>
      <w:r>
        <w:t>,</w:t>
      </w:r>
      <w:r w:rsidRPr="003834C7">
        <w:t xml:space="preserve"> must be clearly indicated by the gaming machine, so that the player is</w:t>
      </w:r>
      <w:r>
        <w:t xml:space="preserve"> </w:t>
      </w:r>
      <w:r w:rsidRPr="003834C7">
        <w:t>in no doubt as to which lines are being bet on.</w:t>
      </w:r>
    </w:p>
    <w:p w14:paraId="73E3D3EB" w14:textId="77777777" w:rsidR="0034618A" w:rsidRDefault="0034618A" w:rsidP="0034618A">
      <w:pPr>
        <w:ind w:left="720" w:hanging="720"/>
        <w:jc w:val="both"/>
        <w:rPr>
          <w:snapToGrid w:val="0"/>
          <w:color w:val="000000"/>
        </w:rPr>
      </w:pPr>
      <w:r>
        <w:rPr>
          <w:snapToGrid w:val="0"/>
          <w:color w:val="000000"/>
        </w:rPr>
        <w:br w:type="page"/>
      </w:r>
    </w:p>
    <w:p w14:paraId="0645C8B3" w14:textId="77777777" w:rsidR="0034618A" w:rsidRDefault="0034618A" w:rsidP="00D3102F">
      <w:pPr>
        <w:pStyle w:val="Heading2"/>
        <w:rPr>
          <w:snapToGrid w:val="0"/>
        </w:rPr>
      </w:pPr>
      <w:bookmarkStart w:id="10" w:name="_Toc467832810"/>
      <w:bookmarkStart w:id="11" w:name="_Toc56425238"/>
      <w:r>
        <w:rPr>
          <w:snapToGrid w:val="0"/>
        </w:rPr>
        <w:lastRenderedPageBreak/>
        <w:t>V5</w:t>
      </w:r>
      <w:r>
        <w:rPr>
          <w:snapToGrid w:val="0"/>
        </w:rPr>
        <w:tab/>
        <w:t>On-Line Significant Events (</w:t>
      </w:r>
      <w:r>
        <w:rPr>
          <w:szCs w:val="28"/>
        </w:rPr>
        <w:t>Club and Hotel Gaming Venues Only</w:t>
      </w:r>
      <w:r>
        <w:rPr>
          <w:snapToGrid w:val="0"/>
        </w:rPr>
        <w:t>)</w:t>
      </w:r>
      <w:bookmarkEnd w:id="10"/>
      <w:bookmarkEnd w:id="11"/>
    </w:p>
    <w:p w14:paraId="3E3124EA" w14:textId="77777777" w:rsidR="0034618A" w:rsidRDefault="0034618A" w:rsidP="00D3102F">
      <w:pPr>
        <w:ind w:left="720" w:hanging="720"/>
        <w:rPr>
          <w:snapToGrid w:val="0"/>
        </w:rPr>
      </w:pPr>
      <w:r>
        <w:rPr>
          <w:snapToGrid w:val="0"/>
        </w:rPr>
        <w:t>V5.1</w:t>
      </w:r>
      <w:r>
        <w:rPr>
          <w:snapToGrid w:val="0"/>
        </w:rPr>
        <w:tab/>
        <w:t>This section is a summary of each of the Significant Events that are required to be reported or actioned, and an indication of what type of significant event this is (relative to requirements for de-activation and reactivation).</w:t>
      </w:r>
    </w:p>
    <w:p w14:paraId="7E61ED16" w14:textId="77777777" w:rsidR="0034618A" w:rsidRPr="005D6D6E" w:rsidRDefault="0034618A" w:rsidP="00D3102F">
      <w:pPr>
        <w:pStyle w:val="Heading3"/>
        <w:rPr>
          <w:snapToGrid w:val="0"/>
        </w:rPr>
      </w:pPr>
      <w:r w:rsidRPr="005D6D6E">
        <w:rPr>
          <w:snapToGrid w:val="0"/>
        </w:rPr>
        <w:t xml:space="preserve">Time Criteria </w:t>
      </w:r>
      <w:r>
        <w:rPr>
          <w:snapToGrid w:val="0"/>
        </w:rPr>
        <w:t>f</w:t>
      </w:r>
      <w:r w:rsidRPr="005D6D6E">
        <w:rPr>
          <w:snapToGrid w:val="0"/>
        </w:rPr>
        <w:t>or Reporting Events</w:t>
      </w:r>
    </w:p>
    <w:p w14:paraId="0DD15B28" w14:textId="77777777" w:rsidR="0034618A" w:rsidRPr="005D6D6E" w:rsidRDefault="0034618A" w:rsidP="00D3102F">
      <w:pPr>
        <w:rPr>
          <w:snapToGrid w:val="0"/>
        </w:rPr>
      </w:pPr>
      <w:r w:rsidRPr="005D6D6E">
        <w:rPr>
          <w:snapToGrid w:val="0"/>
        </w:rPr>
        <w:t>V5.2</w:t>
      </w:r>
      <w:r w:rsidRPr="005D6D6E">
        <w:rPr>
          <w:snapToGrid w:val="0"/>
        </w:rPr>
        <w:tab/>
      </w:r>
      <w:r>
        <w:rPr>
          <w:snapToGrid w:val="0"/>
        </w:rPr>
        <w:t>The following</w:t>
      </w:r>
      <w:r w:rsidRPr="005D6D6E">
        <w:rPr>
          <w:snapToGrid w:val="0"/>
        </w:rPr>
        <w:t xml:space="preserve"> significant events are to be detected and notified within ten seconds of occurrence or as soon as possible after restoration of communications.</w:t>
      </w:r>
    </w:p>
    <w:p w14:paraId="33A2D23E" w14:textId="77777777" w:rsidR="0034618A" w:rsidRPr="005D6D6E" w:rsidRDefault="0034618A" w:rsidP="00D3102F">
      <w:pPr>
        <w:rPr>
          <w:snapToGrid w:val="0"/>
        </w:rPr>
      </w:pPr>
      <w:r w:rsidRPr="005D6D6E">
        <w:rPr>
          <w:snapToGrid w:val="0"/>
        </w:rPr>
        <w:t>V5.3</w:t>
      </w:r>
      <w:r w:rsidRPr="005D6D6E">
        <w:rPr>
          <w:snapToGrid w:val="0"/>
        </w:rPr>
        <w:tab/>
        <w:t>Power Fail:</w:t>
      </w:r>
    </w:p>
    <w:p w14:paraId="08685DA8" w14:textId="77777777" w:rsidR="0034618A" w:rsidRPr="00345FDC" w:rsidRDefault="0034618A" w:rsidP="0034618A">
      <w:pPr>
        <w:pStyle w:val="ListParagraph"/>
        <w:numPr>
          <w:ilvl w:val="0"/>
          <w:numId w:val="36"/>
        </w:numPr>
        <w:spacing w:after="0" w:line="240" w:lineRule="auto"/>
        <w:jc w:val="both"/>
        <w:rPr>
          <w:rFonts w:ascii="Arial" w:hAnsi="Arial" w:cs="Arial"/>
          <w:snapToGrid w:val="0"/>
          <w:color w:val="000000"/>
        </w:rPr>
      </w:pPr>
      <w:r w:rsidRPr="00345FDC">
        <w:rPr>
          <w:rFonts w:ascii="Arial" w:hAnsi="Arial" w:cs="Arial"/>
          <w:snapToGrid w:val="0"/>
          <w:color w:val="000000"/>
        </w:rPr>
        <w:t>If the power fails the equipment is, by default, deactivated. When power is returned, the equipment must check to see if the logic door has been opened and if so, remain de-activated until manual re-activation and only after a signature check is completed and verified by the CMCS.</w:t>
      </w:r>
    </w:p>
    <w:p w14:paraId="26DDB44C" w14:textId="16758101" w:rsidR="0034618A" w:rsidRPr="00345FDC" w:rsidRDefault="0034618A" w:rsidP="0034618A">
      <w:pPr>
        <w:pStyle w:val="ListParagraph"/>
        <w:numPr>
          <w:ilvl w:val="0"/>
          <w:numId w:val="36"/>
        </w:numPr>
        <w:spacing w:after="0" w:line="240" w:lineRule="auto"/>
        <w:jc w:val="both"/>
        <w:rPr>
          <w:rFonts w:ascii="Arial" w:hAnsi="Arial" w:cs="Arial"/>
          <w:snapToGrid w:val="0"/>
          <w:color w:val="000000"/>
        </w:rPr>
      </w:pPr>
      <w:r w:rsidRPr="00345FDC">
        <w:rPr>
          <w:rFonts w:ascii="Arial" w:hAnsi="Arial" w:cs="Arial"/>
          <w:snapToGrid w:val="0"/>
          <w:color w:val="000000"/>
        </w:rPr>
        <w:t>If the logic door has not been opened, the Operator can either have the equipment automatically re-activate or require manual re-activation but only after a signature check is completed and verified by the CMCS.</w:t>
      </w:r>
    </w:p>
    <w:p w14:paraId="34E2AE13" w14:textId="77777777" w:rsidR="00D3102F" w:rsidRPr="00D3102F" w:rsidRDefault="00D3102F" w:rsidP="00D3102F">
      <w:pPr>
        <w:pStyle w:val="ListParagraph"/>
        <w:spacing w:after="0" w:line="240" w:lineRule="auto"/>
        <w:ind w:left="1080"/>
        <w:jc w:val="both"/>
        <w:rPr>
          <w:rFonts w:ascii="Arial" w:hAnsi="Arial" w:cs="Arial"/>
          <w:snapToGrid w:val="0"/>
          <w:color w:val="000000"/>
          <w:sz w:val="21"/>
          <w:szCs w:val="22"/>
        </w:rPr>
      </w:pPr>
    </w:p>
    <w:p w14:paraId="225A9F47" w14:textId="77777777" w:rsidR="0034618A" w:rsidRDefault="0034618A" w:rsidP="00D3102F">
      <w:pPr>
        <w:rPr>
          <w:snapToGrid w:val="0"/>
        </w:rPr>
      </w:pPr>
      <w:r>
        <w:rPr>
          <w:snapToGrid w:val="0"/>
        </w:rPr>
        <w:t>V5.4</w:t>
      </w:r>
      <w:r>
        <w:rPr>
          <w:snapToGrid w:val="0"/>
        </w:rPr>
        <w:tab/>
        <w:t>Logic Area Access, Power-Off Logic Area Access:</w:t>
      </w:r>
    </w:p>
    <w:p w14:paraId="099D2E34" w14:textId="77777777" w:rsidR="0034618A" w:rsidRDefault="0034618A" w:rsidP="00D3102F">
      <w:pPr>
        <w:ind w:left="720"/>
        <w:rPr>
          <w:snapToGrid w:val="0"/>
        </w:rPr>
      </w:pPr>
      <w:r>
        <w:rPr>
          <w:snapToGrid w:val="0"/>
        </w:rPr>
        <w:t>The gaming machine must detect the opening of the logic cabinet door even if the power is off when it occurs and even if the central monitoring system is not operating. The gaming machine must be manually re-activated only after a signature check is completed and verified by the CMCS. Re-activation must involve the participation of the CMCS with a manual command issued by a system operator in order to re-enable the gaming machine.</w:t>
      </w:r>
    </w:p>
    <w:p w14:paraId="6E023856" w14:textId="77777777" w:rsidR="0034618A" w:rsidRDefault="0034618A" w:rsidP="00D3102F">
      <w:pPr>
        <w:rPr>
          <w:snapToGrid w:val="0"/>
        </w:rPr>
      </w:pPr>
      <w:r>
        <w:rPr>
          <w:snapToGrid w:val="0"/>
        </w:rPr>
        <w:t>V5.5</w:t>
      </w:r>
      <w:r>
        <w:rPr>
          <w:snapToGrid w:val="0"/>
        </w:rPr>
        <w:tab/>
        <w:t>Logic Area Sealed:</w:t>
      </w:r>
    </w:p>
    <w:p w14:paraId="663824F7" w14:textId="77777777" w:rsidR="0034618A" w:rsidRDefault="0034618A" w:rsidP="00D3102F">
      <w:pPr>
        <w:ind w:left="720"/>
        <w:rPr>
          <w:snapToGrid w:val="0"/>
        </w:rPr>
      </w:pPr>
      <w:r>
        <w:rPr>
          <w:snapToGrid w:val="0"/>
        </w:rPr>
        <w:t>A sensor has registered that a logic door has gone from “open” to “closed” and the EGM has completed the procedure as given in V5.4.</w:t>
      </w:r>
    </w:p>
    <w:p w14:paraId="12EEFCF6" w14:textId="77777777" w:rsidR="0034618A" w:rsidRDefault="0034618A" w:rsidP="00345FDC">
      <w:pPr>
        <w:rPr>
          <w:snapToGrid w:val="0"/>
        </w:rPr>
      </w:pPr>
      <w:r>
        <w:rPr>
          <w:snapToGrid w:val="0"/>
        </w:rPr>
        <w:t>V5.6</w:t>
      </w:r>
      <w:r>
        <w:rPr>
          <w:snapToGrid w:val="0"/>
        </w:rPr>
        <w:tab/>
        <w:t>Communications Failure:</w:t>
      </w:r>
    </w:p>
    <w:p w14:paraId="756B2C0D" w14:textId="77777777" w:rsidR="0034618A" w:rsidRDefault="0034618A" w:rsidP="00345FDC">
      <w:pPr>
        <w:ind w:left="720"/>
        <w:rPr>
          <w:rFonts w:ascii="Arial" w:hAnsi="Arial" w:cs="Arial"/>
          <w:b/>
          <w:snapToGrid w:val="0"/>
          <w:color w:val="000000"/>
          <w:szCs w:val="22"/>
        </w:rPr>
      </w:pPr>
      <w:r w:rsidRPr="00BD13B4">
        <w:rPr>
          <w:rFonts w:ascii="Arial" w:hAnsi="Arial" w:cs="Arial"/>
          <w:b/>
          <w:snapToGrid w:val="0"/>
          <w:color w:val="000000"/>
          <w:szCs w:val="22"/>
        </w:rPr>
        <w:t xml:space="preserve">Failure of communication link between a gaming machine and its next point in the monitoring </w:t>
      </w:r>
      <w:r>
        <w:rPr>
          <w:rFonts w:ascii="Arial" w:hAnsi="Arial" w:cs="Arial"/>
          <w:b/>
          <w:snapToGrid w:val="0"/>
          <w:color w:val="000000"/>
          <w:szCs w:val="22"/>
        </w:rPr>
        <w:t>system.</w:t>
      </w:r>
    </w:p>
    <w:p w14:paraId="2B85E1E4" w14:textId="77777777" w:rsidR="0034618A" w:rsidRPr="00BD13B4" w:rsidRDefault="0034618A" w:rsidP="00345FDC">
      <w:pPr>
        <w:ind w:left="720"/>
        <w:rPr>
          <w:rFonts w:ascii="Arial" w:hAnsi="Arial" w:cs="Arial"/>
          <w:snapToGrid w:val="0"/>
          <w:color w:val="000000"/>
          <w:szCs w:val="22"/>
        </w:rPr>
      </w:pPr>
      <w:r w:rsidRPr="00BD13B4">
        <w:rPr>
          <w:rFonts w:ascii="Arial" w:hAnsi="Arial" w:cs="Arial"/>
          <w:b/>
          <w:snapToGrid w:val="0"/>
          <w:color w:val="000000"/>
          <w:szCs w:val="22"/>
        </w:rPr>
        <w:t>Failure</w:t>
      </w:r>
      <w:r w:rsidRPr="00BD13B4">
        <w:rPr>
          <w:rFonts w:ascii="Arial" w:hAnsi="Arial" w:cs="Arial"/>
          <w:snapToGrid w:val="0"/>
          <w:color w:val="000000"/>
          <w:szCs w:val="22"/>
        </w:rPr>
        <w:t xml:space="preserve"> is defined to be a period of no communications for 10 seconds or longer. When communications are restored, the gaming machine must check to see if the logic door has been opened and if so, remain de-activated until manual reactivation and only after a signature check is completed and verified by the CMCS. If the logic door has not been opened, the </w:t>
      </w:r>
      <w:r>
        <w:rPr>
          <w:rFonts w:ascii="Arial" w:hAnsi="Arial" w:cs="Arial"/>
          <w:snapToGrid w:val="0"/>
          <w:color w:val="000000"/>
          <w:szCs w:val="22"/>
        </w:rPr>
        <w:t>venue operator</w:t>
      </w:r>
      <w:r w:rsidRPr="00BD13B4">
        <w:rPr>
          <w:rFonts w:ascii="Arial" w:hAnsi="Arial" w:cs="Arial"/>
          <w:snapToGrid w:val="0"/>
          <w:color w:val="000000"/>
          <w:szCs w:val="22"/>
        </w:rPr>
        <w:t xml:space="preserve"> can either have the equipment automatically re-activate or require manual re-activation only after a signature check is completed and verified by the CMCS.</w:t>
      </w:r>
    </w:p>
    <w:p w14:paraId="4A37A259" w14:textId="77777777" w:rsidR="0034618A" w:rsidRDefault="0034618A" w:rsidP="00345FDC">
      <w:pPr>
        <w:rPr>
          <w:snapToGrid w:val="0"/>
        </w:rPr>
      </w:pPr>
      <w:r>
        <w:rPr>
          <w:snapToGrid w:val="0"/>
        </w:rPr>
        <w:t>V5.7</w:t>
      </w:r>
      <w:r>
        <w:rPr>
          <w:snapToGrid w:val="0"/>
        </w:rPr>
        <w:tab/>
        <w:t>Cash Out:</w:t>
      </w:r>
    </w:p>
    <w:p w14:paraId="535C04DA" w14:textId="77777777" w:rsidR="0034618A" w:rsidRPr="00BD13B4" w:rsidRDefault="0034618A" w:rsidP="0034618A">
      <w:pPr>
        <w:ind w:left="709"/>
        <w:jc w:val="both"/>
        <w:rPr>
          <w:rFonts w:ascii="Arial" w:hAnsi="Arial" w:cs="Arial"/>
          <w:snapToGrid w:val="0"/>
          <w:color w:val="000000"/>
        </w:rPr>
      </w:pPr>
      <w:r w:rsidRPr="00BD13B4">
        <w:rPr>
          <w:rFonts w:ascii="Arial" w:hAnsi="Arial" w:cs="Arial"/>
          <w:b/>
          <w:snapToGrid w:val="0"/>
          <w:color w:val="000000"/>
        </w:rPr>
        <w:t xml:space="preserve">Cash outs greater than or equal to Commission specified limit: </w:t>
      </w:r>
      <w:r w:rsidRPr="00BD13B4">
        <w:rPr>
          <w:rFonts w:ascii="Arial" w:hAnsi="Arial" w:cs="Arial"/>
          <w:snapToGrid w:val="0"/>
          <w:color w:val="000000"/>
        </w:rPr>
        <w:t>The default value for this limit is to be $</w:t>
      </w:r>
      <w:r>
        <w:rPr>
          <w:rFonts w:ascii="Arial" w:hAnsi="Arial" w:cs="Arial"/>
          <w:snapToGrid w:val="0"/>
          <w:color w:val="000000"/>
        </w:rPr>
        <w:t>2</w:t>
      </w:r>
      <w:r w:rsidRPr="00BD13B4">
        <w:rPr>
          <w:rFonts w:ascii="Arial" w:hAnsi="Arial" w:cs="Arial"/>
          <w:snapToGrid w:val="0"/>
          <w:color w:val="000000"/>
        </w:rPr>
        <w:t>,000. Note that wins of $</w:t>
      </w:r>
      <w:r>
        <w:rPr>
          <w:rFonts w:ascii="Arial" w:hAnsi="Arial" w:cs="Arial"/>
          <w:snapToGrid w:val="0"/>
          <w:color w:val="000000"/>
        </w:rPr>
        <w:t>2</w:t>
      </w:r>
      <w:r w:rsidRPr="00BD13B4">
        <w:rPr>
          <w:rFonts w:ascii="Arial" w:hAnsi="Arial" w:cs="Arial"/>
          <w:snapToGrid w:val="0"/>
          <w:color w:val="000000"/>
        </w:rPr>
        <w:t xml:space="preserve">,000 or more require personal identification before </w:t>
      </w:r>
      <w:r w:rsidRPr="00BD13B4">
        <w:rPr>
          <w:rFonts w:ascii="Arial" w:hAnsi="Arial" w:cs="Arial"/>
          <w:snapToGrid w:val="0"/>
          <w:color w:val="000000"/>
        </w:rPr>
        <w:lastRenderedPageBreak/>
        <w:t>payment of winnings (which must be by cheque in the name of the player</w:t>
      </w:r>
      <w:r>
        <w:rPr>
          <w:rFonts w:ascii="Arial" w:hAnsi="Arial" w:cs="Arial"/>
          <w:snapToGrid w:val="0"/>
          <w:color w:val="000000"/>
        </w:rPr>
        <w:t xml:space="preserve"> or by EFTPOS in accordance with conditions specified in the Act</w:t>
      </w:r>
      <w:r w:rsidRPr="00BD13B4">
        <w:rPr>
          <w:rFonts w:ascii="Arial" w:hAnsi="Arial" w:cs="Arial"/>
          <w:snapToGrid w:val="0"/>
          <w:color w:val="000000"/>
        </w:rPr>
        <w:t>) can be made.</w:t>
      </w:r>
    </w:p>
    <w:p w14:paraId="0C32F4D8" w14:textId="77777777" w:rsidR="0034618A" w:rsidRDefault="0034618A" w:rsidP="00345FDC">
      <w:pPr>
        <w:rPr>
          <w:snapToGrid w:val="0"/>
        </w:rPr>
      </w:pPr>
      <w:r>
        <w:rPr>
          <w:snapToGrid w:val="0"/>
        </w:rPr>
        <w:t>V5.8</w:t>
      </w:r>
      <w:r>
        <w:rPr>
          <w:snapToGrid w:val="0"/>
        </w:rPr>
        <w:tab/>
        <w:t>Jackpot:</w:t>
      </w:r>
    </w:p>
    <w:p w14:paraId="19E7A730" w14:textId="3FF45E2B" w:rsidR="0034618A" w:rsidRPr="00BD13B4" w:rsidRDefault="0034618A" w:rsidP="0034618A">
      <w:pPr>
        <w:tabs>
          <w:tab w:val="num" w:pos="1440"/>
        </w:tabs>
        <w:ind w:left="709"/>
        <w:jc w:val="both"/>
        <w:rPr>
          <w:rFonts w:ascii="Arial" w:hAnsi="Arial" w:cs="Arial"/>
          <w:snapToGrid w:val="0"/>
          <w:color w:val="000000"/>
        </w:rPr>
      </w:pPr>
      <w:r w:rsidRPr="00BD13B4">
        <w:rPr>
          <w:rFonts w:ascii="Arial" w:hAnsi="Arial" w:cs="Arial"/>
          <w:b/>
          <w:snapToGrid w:val="0"/>
          <w:color w:val="000000"/>
        </w:rPr>
        <w:t>Winning of a jackpot prize</w:t>
      </w:r>
      <w:r>
        <w:rPr>
          <w:rFonts w:ascii="Arial" w:hAnsi="Arial" w:cs="Arial"/>
          <w:b/>
          <w:snapToGrid w:val="0"/>
          <w:color w:val="000000"/>
        </w:rPr>
        <w:t>:</w:t>
      </w:r>
      <w:r w:rsidRPr="00BD13B4">
        <w:rPr>
          <w:rFonts w:ascii="Arial" w:hAnsi="Arial" w:cs="Arial"/>
          <w:b/>
          <w:snapToGrid w:val="0"/>
          <w:color w:val="000000"/>
        </w:rPr>
        <w:t xml:space="preserve"> </w:t>
      </w:r>
      <w:r w:rsidRPr="00BD13B4">
        <w:rPr>
          <w:rFonts w:ascii="Arial" w:hAnsi="Arial" w:cs="Arial"/>
          <w:snapToGrid w:val="0"/>
          <w:color w:val="000000"/>
        </w:rPr>
        <w:t>Although the Regulations do not indicate to de-activate</w:t>
      </w:r>
      <w:r>
        <w:rPr>
          <w:rFonts w:ascii="Arial" w:hAnsi="Arial" w:cs="Arial"/>
          <w:snapToGrid w:val="0"/>
          <w:color w:val="000000"/>
        </w:rPr>
        <w:t xml:space="preserve"> upon any jackpot win</w:t>
      </w:r>
      <w:r w:rsidRPr="00BD13B4">
        <w:rPr>
          <w:rFonts w:ascii="Arial" w:hAnsi="Arial" w:cs="Arial"/>
          <w:snapToGrid w:val="0"/>
          <w:color w:val="000000"/>
        </w:rPr>
        <w:t xml:space="preserve">, the winning of a jackpot prize together with any game wins </w:t>
      </w:r>
      <w:r>
        <w:rPr>
          <w:rFonts w:ascii="Arial" w:hAnsi="Arial" w:cs="Arial"/>
          <w:snapToGrid w:val="0"/>
          <w:color w:val="000000"/>
        </w:rPr>
        <w:t xml:space="preserve">that </w:t>
      </w:r>
      <w:r w:rsidRPr="00BD13B4">
        <w:rPr>
          <w:rFonts w:ascii="Arial" w:hAnsi="Arial" w:cs="Arial"/>
          <w:snapToGrid w:val="0"/>
          <w:color w:val="000000"/>
        </w:rPr>
        <w:t xml:space="preserve">is greater than the large win limit will mean the gaming machine must de-activate itself (or be de-activated by the host, if the host is determining the jackpot). The default value for this limit is $10,000. The gaming machine may be re-activated </w:t>
      </w:r>
      <w:r>
        <w:rPr>
          <w:rFonts w:ascii="Arial" w:hAnsi="Arial" w:cs="Arial"/>
          <w:snapToGrid w:val="0"/>
          <w:color w:val="000000"/>
        </w:rPr>
        <w:t xml:space="preserve">only </w:t>
      </w:r>
      <w:r w:rsidRPr="00BD13B4">
        <w:rPr>
          <w:rFonts w:ascii="Arial" w:hAnsi="Arial" w:cs="Arial"/>
          <w:snapToGrid w:val="0"/>
          <w:color w:val="000000"/>
        </w:rPr>
        <w:t xml:space="preserve">after appropriate Audit procedures have been completed </w:t>
      </w:r>
      <w:r>
        <w:rPr>
          <w:rFonts w:ascii="Arial" w:hAnsi="Arial" w:cs="Arial"/>
          <w:snapToGrid w:val="0"/>
          <w:color w:val="000000"/>
        </w:rPr>
        <w:t xml:space="preserve">and </w:t>
      </w:r>
      <w:r w:rsidRPr="00BD13B4">
        <w:rPr>
          <w:rFonts w:ascii="Arial" w:hAnsi="Arial" w:cs="Arial"/>
          <w:snapToGrid w:val="0"/>
          <w:color w:val="000000"/>
        </w:rPr>
        <w:t>after a gaming machine signature check is completed and verified by the CMCS. Note that there is no mandatory requirement to log a jackpot win significant event if the prize amount is less than the Commission specified default limit of $10,000.</w:t>
      </w:r>
    </w:p>
    <w:p w14:paraId="67059010" w14:textId="77777777" w:rsidR="0034618A" w:rsidRDefault="0034618A" w:rsidP="0029301E">
      <w:pPr>
        <w:rPr>
          <w:snapToGrid w:val="0"/>
        </w:rPr>
      </w:pPr>
      <w:r>
        <w:rPr>
          <w:snapToGrid w:val="0"/>
        </w:rPr>
        <w:t>V5.9</w:t>
      </w:r>
      <w:r>
        <w:rPr>
          <w:snapToGrid w:val="0"/>
        </w:rPr>
        <w:tab/>
        <w:t>Large Wins:</w:t>
      </w:r>
    </w:p>
    <w:p w14:paraId="5B74956B" w14:textId="77777777" w:rsidR="0034618A" w:rsidRPr="00BD13B4" w:rsidRDefault="0034618A" w:rsidP="0029301E">
      <w:pPr>
        <w:ind w:left="720"/>
        <w:rPr>
          <w:rFonts w:ascii="Arial" w:hAnsi="Arial" w:cs="Arial"/>
          <w:snapToGrid w:val="0"/>
          <w:color w:val="000000"/>
        </w:rPr>
      </w:pPr>
      <w:r w:rsidRPr="00BD13B4">
        <w:rPr>
          <w:rFonts w:ascii="Arial" w:hAnsi="Arial" w:cs="Arial"/>
          <w:b/>
          <w:snapToGrid w:val="0"/>
          <w:color w:val="000000"/>
        </w:rPr>
        <w:t xml:space="preserve">Winning of a prize greater than or equal to the Commission specified limit: </w:t>
      </w:r>
      <w:r w:rsidRPr="00BD13B4">
        <w:rPr>
          <w:rFonts w:ascii="Arial" w:hAnsi="Arial" w:cs="Arial"/>
          <w:snapToGrid w:val="0"/>
          <w:color w:val="000000"/>
        </w:rPr>
        <w:t>This limit may be different from the previous limit. The default value for this limit is to be $10,000. The gaming machine may be re-activated after appropriate Audit procedures have been completed but only after a gaming machine signature check is completed and verified by the CMCS.</w:t>
      </w:r>
    </w:p>
    <w:p w14:paraId="22952162" w14:textId="77777777" w:rsidR="0034618A" w:rsidRPr="00BD13B4" w:rsidRDefault="0034618A" w:rsidP="0029301E">
      <w:pPr>
        <w:ind w:left="720"/>
        <w:rPr>
          <w:rFonts w:ascii="Arial" w:hAnsi="Arial" w:cs="Arial"/>
          <w:snapToGrid w:val="0"/>
          <w:color w:val="000000"/>
        </w:rPr>
      </w:pPr>
      <w:r w:rsidRPr="00BD13B4">
        <w:rPr>
          <w:rFonts w:ascii="Arial" w:hAnsi="Arial" w:cs="Arial"/>
          <w:snapToGrid w:val="0"/>
          <w:color w:val="000000"/>
        </w:rPr>
        <w:t>Note that in the de-activated state the gaming machine shall not continue game play nor pay the credit balance to the player via a collect, cancel credit, ticket print or other such means until a gaming attendant has cleared the win at the gaming machine.</w:t>
      </w:r>
    </w:p>
    <w:p w14:paraId="4E2E7B93" w14:textId="77777777" w:rsidR="0034618A" w:rsidRDefault="0034618A" w:rsidP="0029301E">
      <w:pPr>
        <w:rPr>
          <w:snapToGrid w:val="0"/>
        </w:rPr>
      </w:pPr>
      <w:r>
        <w:rPr>
          <w:snapToGrid w:val="0"/>
        </w:rPr>
        <w:t>V5.10</w:t>
      </w:r>
      <w:r>
        <w:rPr>
          <w:snapToGrid w:val="0"/>
        </w:rPr>
        <w:tab/>
        <w:t>Game Play Activated:</w:t>
      </w:r>
    </w:p>
    <w:p w14:paraId="6847A179" w14:textId="77777777" w:rsidR="0034618A" w:rsidRPr="00BD13B4" w:rsidRDefault="0034618A" w:rsidP="0029301E">
      <w:pPr>
        <w:ind w:left="720"/>
        <w:rPr>
          <w:rFonts w:ascii="Arial" w:hAnsi="Arial" w:cs="Arial"/>
          <w:snapToGrid w:val="0"/>
          <w:color w:val="000000"/>
        </w:rPr>
      </w:pPr>
      <w:r w:rsidRPr="002C2856">
        <w:rPr>
          <w:rFonts w:ascii="Arial" w:hAnsi="Arial" w:cs="Arial"/>
          <w:b/>
          <w:snapToGrid w:val="0"/>
          <w:color w:val="000000"/>
        </w:rPr>
        <w:t>Activation including re-activation of game play:</w:t>
      </w:r>
      <w:r w:rsidRPr="00BD13B4">
        <w:rPr>
          <w:rFonts w:ascii="Arial" w:hAnsi="Arial" w:cs="Arial"/>
          <w:snapToGrid w:val="0"/>
          <w:color w:val="000000"/>
        </w:rPr>
        <w:t xml:space="preserve"> Activation and de-activation at normal commencement and conclusion of business requires the generation of significant events (by the CMCS or by the gaming machine) so that the system can identify that the gaming machine status has changed. This does not mean that the monitoring system must send a separate message to the central point of the system for each one of these events that happens. It is permitted for the system to send a message giving</w:t>
      </w:r>
      <w:r>
        <w:rPr>
          <w:rFonts w:ascii="Arial" w:hAnsi="Arial" w:cs="Arial"/>
          <w:snapToGrid w:val="0"/>
          <w:color w:val="000000"/>
        </w:rPr>
        <w:t xml:space="preserve"> an</w:t>
      </w:r>
      <w:r w:rsidRPr="00BD13B4">
        <w:rPr>
          <w:rFonts w:ascii="Arial" w:hAnsi="Arial" w:cs="Arial"/>
          <w:snapToGrid w:val="0"/>
          <w:color w:val="000000"/>
        </w:rPr>
        <w:t xml:space="preserve"> indication of change of status of several gaming machines as long as the status change events all occurred within 10 seconds of each other.</w:t>
      </w:r>
    </w:p>
    <w:p w14:paraId="1F0A8E74" w14:textId="77777777" w:rsidR="0034618A" w:rsidRDefault="0034618A" w:rsidP="0029301E">
      <w:r>
        <w:t>V5.11</w:t>
      </w:r>
      <w:r>
        <w:tab/>
        <w:t>Game Play De-Activated:</w:t>
      </w:r>
    </w:p>
    <w:p w14:paraId="7307B667" w14:textId="77777777" w:rsidR="0034618A" w:rsidRPr="00BD13B4" w:rsidRDefault="0034618A" w:rsidP="0029301E">
      <w:pPr>
        <w:ind w:left="720"/>
        <w:rPr>
          <w:rFonts w:ascii="Arial" w:hAnsi="Arial" w:cs="Arial"/>
          <w:snapToGrid w:val="0"/>
          <w:color w:val="000000"/>
        </w:rPr>
      </w:pPr>
      <w:r w:rsidRPr="002C2856">
        <w:rPr>
          <w:rFonts w:ascii="Arial" w:hAnsi="Arial" w:cs="Arial"/>
          <w:b/>
          <w:snapToGrid w:val="0"/>
          <w:color w:val="000000"/>
        </w:rPr>
        <w:t>De-activation of Game play:</w:t>
      </w:r>
      <w:r w:rsidRPr="002C2856">
        <w:rPr>
          <w:rFonts w:ascii="Arial" w:hAnsi="Arial" w:cs="Arial"/>
          <w:snapToGrid w:val="0"/>
          <w:color w:val="000000"/>
        </w:rPr>
        <w:t xml:space="preserve"> </w:t>
      </w:r>
      <w:r w:rsidRPr="00BD13B4">
        <w:rPr>
          <w:rFonts w:ascii="Arial" w:hAnsi="Arial" w:cs="Arial"/>
          <w:snapToGrid w:val="0"/>
          <w:color w:val="000000"/>
        </w:rPr>
        <w:t xml:space="preserve">If a significant event has not already been logged (by the CMCS or the gaming machine) when de-activation occurs, the gaming machine must ensure that one is sent to the CMCS as soon as possible. If the gaming machine receives instruction to de-activate by any other part of the monitoring system, it must de-activate immediately, and must </w:t>
      </w:r>
      <w:r>
        <w:rPr>
          <w:rFonts w:ascii="Arial" w:hAnsi="Arial" w:cs="Arial"/>
          <w:snapToGrid w:val="0"/>
          <w:color w:val="000000"/>
        </w:rPr>
        <w:t>not re-activate until instructed to do so by the CMCS.</w:t>
      </w:r>
    </w:p>
    <w:p w14:paraId="09ED8B73" w14:textId="77777777" w:rsidR="0034618A" w:rsidRDefault="0034618A" w:rsidP="007C56D7">
      <w:r>
        <w:t>V5.12</w:t>
      </w:r>
      <w:r>
        <w:tab/>
        <w:t>Mechanical Meters De-activated:</w:t>
      </w:r>
    </w:p>
    <w:p w14:paraId="790B8255" w14:textId="77777777" w:rsidR="0034618A" w:rsidRPr="002C2856" w:rsidRDefault="0034618A" w:rsidP="0034618A">
      <w:pPr>
        <w:spacing w:before="120"/>
        <w:ind w:left="709"/>
        <w:jc w:val="both"/>
        <w:rPr>
          <w:rFonts w:ascii="Arial" w:hAnsi="Arial" w:cs="Arial"/>
          <w:snapToGrid w:val="0"/>
          <w:color w:val="000000"/>
        </w:rPr>
      </w:pPr>
      <w:r w:rsidRPr="002C2856">
        <w:rPr>
          <w:rFonts w:ascii="Arial" w:hAnsi="Arial" w:cs="Arial"/>
          <w:snapToGrid w:val="0"/>
          <w:color w:val="000000"/>
        </w:rPr>
        <w:t>If there is non-secure wiring between the mechanical meters and the logic board, the gaming machine must be able to detect when its mechanical meters are disconnected and generate this significant event.</w:t>
      </w:r>
    </w:p>
    <w:p w14:paraId="4993E2A0" w14:textId="77777777" w:rsidR="0034618A" w:rsidRDefault="0034618A" w:rsidP="0034618A">
      <w:pPr>
        <w:rPr>
          <w:rFonts w:ascii="Arial" w:hAnsi="Arial" w:cs="Arial"/>
          <w:color w:val="FF0000"/>
          <w:sz w:val="28"/>
        </w:rPr>
      </w:pPr>
      <w:r>
        <w:rPr>
          <w:sz w:val="28"/>
        </w:rPr>
        <w:br w:type="page"/>
      </w:r>
    </w:p>
    <w:p w14:paraId="4969F5C2" w14:textId="77777777" w:rsidR="0034618A" w:rsidRDefault="0034618A" w:rsidP="0029301E">
      <w:pPr>
        <w:pStyle w:val="Heading2"/>
      </w:pPr>
      <w:bookmarkStart w:id="12" w:name="_Toc467832811"/>
      <w:bookmarkStart w:id="13" w:name="_Toc56425239"/>
      <w:r>
        <w:lastRenderedPageBreak/>
        <w:t>V6</w:t>
      </w:r>
      <w:r>
        <w:tab/>
        <w:t>Responsible Gambling</w:t>
      </w:r>
      <w:bookmarkEnd w:id="12"/>
      <w:bookmarkEnd w:id="13"/>
    </w:p>
    <w:p w14:paraId="0105E0F5" w14:textId="77777777" w:rsidR="0034618A" w:rsidRPr="00F729A1" w:rsidRDefault="0034618A" w:rsidP="0034618A">
      <w:pPr>
        <w:spacing w:before="120"/>
        <w:jc w:val="both"/>
        <w:rPr>
          <w:rFonts w:ascii="Arial" w:hAnsi="Arial" w:cs="Arial"/>
          <w:snapToGrid w:val="0"/>
        </w:rPr>
      </w:pPr>
      <w:r w:rsidRPr="00F729A1">
        <w:rPr>
          <w:rFonts w:ascii="Arial" w:hAnsi="Arial" w:cs="Arial"/>
          <w:snapToGrid w:val="0"/>
        </w:rPr>
        <w:t xml:space="preserve">The Act provides for the Commission to approve or refuse to approve a gaming machine type or a game having regard to responsible gambling, the Commission’s standards in force under section 3.5.3 and the certificate of a tester listed on the Roll. In </w:t>
      </w:r>
      <w:proofErr w:type="gramStart"/>
      <w:r w:rsidRPr="00F729A1">
        <w:rPr>
          <w:rFonts w:ascii="Arial" w:hAnsi="Arial" w:cs="Arial"/>
          <w:snapToGrid w:val="0"/>
        </w:rPr>
        <w:t>addition</w:t>
      </w:r>
      <w:proofErr w:type="gramEnd"/>
      <w:r w:rsidRPr="00F729A1">
        <w:rPr>
          <w:rFonts w:ascii="Arial" w:hAnsi="Arial" w:cs="Arial"/>
          <w:snapToGrid w:val="0"/>
        </w:rPr>
        <w:t xml:space="preserve"> the current criteria of player return, game fairness and security still apply. The following are requirements that are supplementary to and do not take the place of any of the requirements of the Act.</w:t>
      </w:r>
    </w:p>
    <w:p w14:paraId="5993C36F" w14:textId="77777777" w:rsidR="0034618A" w:rsidRPr="00F729A1" w:rsidRDefault="0034618A" w:rsidP="00345FDC">
      <w:pPr>
        <w:pStyle w:val="Heading3"/>
      </w:pPr>
      <w:r w:rsidRPr="00F729A1">
        <w:t>Game Artwork / name and Screen Display</w:t>
      </w:r>
    </w:p>
    <w:p w14:paraId="14BD6E84" w14:textId="77777777" w:rsidR="0034618A" w:rsidRDefault="0034618A" w:rsidP="00345FDC">
      <w:r>
        <w:t>V6.1</w:t>
      </w:r>
      <w:r>
        <w:tab/>
        <w:t>Artwork must not:</w:t>
      </w:r>
    </w:p>
    <w:p w14:paraId="42458031"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be factually incorrect</w:t>
      </w:r>
    </w:p>
    <w:p w14:paraId="7F53A127"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be misleading or deceptive</w:t>
      </w:r>
    </w:p>
    <w:p w14:paraId="465A4EB4"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suggest that playing a gaming machine is likely to improve a person's social status</w:t>
      </w:r>
    </w:p>
    <w:p w14:paraId="118A1AD9"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suggest that playing a gaming machine is likely to make a person more attractive to others</w:t>
      </w:r>
    </w:p>
    <w:p w14:paraId="7A34A6EF" w14:textId="77777777" w:rsidR="0034618A" w:rsidRPr="00DE2140" w:rsidRDefault="0034618A" w:rsidP="0034618A">
      <w:pPr>
        <w:pStyle w:val="ListParagraph"/>
        <w:numPr>
          <w:ilvl w:val="0"/>
          <w:numId w:val="37"/>
        </w:numPr>
        <w:tabs>
          <w:tab w:val="left" w:pos="230"/>
        </w:tabs>
        <w:spacing w:after="100" w:line="240" w:lineRule="auto"/>
        <w:jc w:val="both"/>
        <w:rPr>
          <w:rFonts w:ascii="Arial" w:hAnsi="Arial" w:cs="Arial"/>
          <w:snapToGrid w:val="0"/>
          <w:szCs w:val="22"/>
        </w:rPr>
      </w:pPr>
      <w:r w:rsidRPr="00DE2140">
        <w:rPr>
          <w:rFonts w:ascii="Arial" w:hAnsi="Arial" w:cs="Arial"/>
          <w:snapToGrid w:val="0"/>
          <w:szCs w:val="22"/>
        </w:rPr>
        <w:t>suggest that playing a gaming machine is likely to result in a person's financial betterment</w:t>
      </w:r>
    </w:p>
    <w:p w14:paraId="50F51031"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describe money spent in playing a gaming machine as an investment</w:t>
      </w:r>
    </w:p>
    <w:p w14:paraId="647AFAE5"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suggest that a player's skill can influence the outcome of a game that is purely a game of chance; or</w:t>
      </w:r>
    </w:p>
    <w:p w14:paraId="5CF80DE3" w14:textId="70BA45B6" w:rsidR="0034618A" w:rsidRDefault="0034618A" w:rsidP="0034618A">
      <w:pPr>
        <w:pStyle w:val="BodyText2"/>
        <w:numPr>
          <w:ilvl w:val="0"/>
          <w:numId w:val="37"/>
        </w:numPr>
        <w:spacing w:after="50" w:line="240" w:lineRule="auto"/>
        <w:jc w:val="both"/>
        <w:rPr>
          <w:color w:val="auto"/>
          <w:szCs w:val="22"/>
          <w:u w:val="none"/>
        </w:rPr>
      </w:pPr>
      <w:r w:rsidRPr="00DE2140">
        <w:rPr>
          <w:color w:val="auto"/>
          <w:szCs w:val="22"/>
          <w:u w:val="none"/>
        </w:rPr>
        <w:t>suggest that a person's chances of winning a prize are influenced by the length of time for which a person plays a game.</w:t>
      </w:r>
    </w:p>
    <w:p w14:paraId="351149E9" w14:textId="77777777" w:rsidR="00345FDC" w:rsidRPr="00DE2140" w:rsidRDefault="00345FDC" w:rsidP="00345FDC">
      <w:pPr>
        <w:pStyle w:val="BodyText2"/>
        <w:spacing w:after="50" w:line="240" w:lineRule="auto"/>
        <w:ind w:left="1080"/>
        <w:jc w:val="both"/>
        <w:rPr>
          <w:color w:val="auto"/>
          <w:szCs w:val="22"/>
          <w:u w:val="none"/>
        </w:rPr>
      </w:pPr>
    </w:p>
    <w:p w14:paraId="3339B07B" w14:textId="77777777" w:rsidR="0034618A" w:rsidRDefault="0034618A" w:rsidP="00345FDC">
      <w:pPr>
        <w:rPr>
          <w:snapToGrid w:val="0"/>
        </w:rPr>
      </w:pPr>
      <w:r>
        <w:rPr>
          <w:snapToGrid w:val="0"/>
        </w:rPr>
        <w:t>V6.2</w:t>
      </w:r>
      <w:r>
        <w:rPr>
          <w:snapToGrid w:val="0"/>
        </w:rPr>
        <w:tab/>
        <w:t>Game name must not:</w:t>
      </w:r>
    </w:p>
    <w:p w14:paraId="4734318E"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suggest that playing a gaming machine is likely to improve a person's social status</w:t>
      </w:r>
    </w:p>
    <w:p w14:paraId="385DEA61"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suggest that playing a gaming machine is likely to make a person more attractive to others</w:t>
      </w:r>
    </w:p>
    <w:p w14:paraId="05F56442" w14:textId="77777777" w:rsidR="0034618A" w:rsidRPr="00F729A1" w:rsidRDefault="0034618A" w:rsidP="0034618A">
      <w:pPr>
        <w:pStyle w:val="ListParagraph"/>
        <w:numPr>
          <w:ilvl w:val="0"/>
          <w:numId w:val="38"/>
        </w:numPr>
        <w:tabs>
          <w:tab w:val="left" w:pos="230"/>
        </w:tabs>
        <w:spacing w:after="100" w:line="240" w:lineRule="auto"/>
        <w:jc w:val="both"/>
        <w:rPr>
          <w:rFonts w:ascii="Arial" w:hAnsi="Arial" w:cs="Arial"/>
          <w:snapToGrid w:val="0"/>
          <w:szCs w:val="22"/>
        </w:rPr>
      </w:pPr>
      <w:r w:rsidRPr="00F729A1">
        <w:rPr>
          <w:rFonts w:ascii="Arial" w:hAnsi="Arial" w:cs="Arial"/>
          <w:snapToGrid w:val="0"/>
          <w:szCs w:val="22"/>
        </w:rPr>
        <w:t>suggest that playing a gaming machine is likely to result in a person's financial betterment</w:t>
      </w:r>
    </w:p>
    <w:p w14:paraId="3213E35C" w14:textId="77777777" w:rsidR="0034618A" w:rsidRPr="00F729A1" w:rsidRDefault="0034618A" w:rsidP="0034618A">
      <w:pPr>
        <w:pStyle w:val="ListParagraph"/>
        <w:numPr>
          <w:ilvl w:val="0"/>
          <w:numId w:val="38"/>
        </w:numPr>
        <w:tabs>
          <w:tab w:val="left" w:pos="230"/>
        </w:tabs>
        <w:spacing w:after="100" w:line="240" w:lineRule="auto"/>
        <w:jc w:val="both"/>
        <w:rPr>
          <w:rFonts w:ascii="Arial" w:hAnsi="Arial" w:cs="Arial"/>
          <w:snapToGrid w:val="0"/>
          <w:szCs w:val="22"/>
        </w:rPr>
      </w:pPr>
      <w:r w:rsidRPr="00F729A1">
        <w:rPr>
          <w:rFonts w:ascii="Arial" w:hAnsi="Arial" w:cs="Arial"/>
          <w:snapToGrid w:val="0"/>
          <w:szCs w:val="22"/>
        </w:rPr>
        <w:t>be misleading or deceptive</w:t>
      </w:r>
    </w:p>
    <w:p w14:paraId="400620C8"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describe money spent in playing a gaming machine as an investment</w:t>
      </w:r>
    </w:p>
    <w:p w14:paraId="462462C3"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suggest that a player's skill can influence the outcome of a game that is purely a game of chance; or</w:t>
      </w:r>
    </w:p>
    <w:p w14:paraId="7CED9EF7" w14:textId="734D2D9C" w:rsidR="0034618A" w:rsidRDefault="0034618A" w:rsidP="0034618A">
      <w:pPr>
        <w:pStyle w:val="ListParagraph"/>
        <w:numPr>
          <w:ilvl w:val="0"/>
          <w:numId w:val="38"/>
        </w:numPr>
        <w:spacing w:after="50" w:line="240" w:lineRule="auto"/>
        <w:jc w:val="both"/>
        <w:rPr>
          <w:rFonts w:ascii="Arial" w:hAnsi="Arial" w:cs="Arial"/>
          <w:snapToGrid w:val="0"/>
          <w:szCs w:val="22"/>
        </w:rPr>
      </w:pPr>
      <w:r w:rsidRPr="00DE2140">
        <w:rPr>
          <w:rFonts w:ascii="Arial" w:hAnsi="Arial" w:cs="Arial"/>
          <w:snapToGrid w:val="0"/>
          <w:szCs w:val="22"/>
        </w:rPr>
        <w:t>suggest that a person's chances of winning a prize are influenced by the length of time for which a person plays a game.</w:t>
      </w:r>
    </w:p>
    <w:p w14:paraId="72DB9BD3" w14:textId="77777777" w:rsidR="00345FDC" w:rsidRPr="00DE2140" w:rsidRDefault="00345FDC" w:rsidP="00345FDC">
      <w:pPr>
        <w:pStyle w:val="ListParagraph"/>
        <w:spacing w:after="50" w:line="240" w:lineRule="auto"/>
        <w:ind w:left="1080"/>
        <w:jc w:val="both"/>
        <w:rPr>
          <w:rFonts w:ascii="Arial" w:hAnsi="Arial" w:cs="Arial"/>
          <w:snapToGrid w:val="0"/>
          <w:szCs w:val="22"/>
        </w:rPr>
      </w:pPr>
    </w:p>
    <w:p w14:paraId="42F8588D" w14:textId="77777777" w:rsidR="0034618A" w:rsidRPr="00990CAF" w:rsidRDefault="0034618A" w:rsidP="00345FDC">
      <w:pPr>
        <w:ind w:left="720" w:hanging="720"/>
      </w:pPr>
      <w:r>
        <w:t>V6.3</w:t>
      </w:r>
      <w:r>
        <w:tab/>
        <w:t>Games can offer what might otherwise appear to be an illusion of control if it is clear to players that no action of the player can influence the outcome of the game or any element of the game. Advice to players may be provided in the static artwork or via game play information which makes clear and in readily available and visible format that no action of the player can influence the outcome of the game.</w:t>
      </w:r>
    </w:p>
    <w:p w14:paraId="4C69E593" w14:textId="77777777" w:rsidR="0034618A" w:rsidRPr="00DE2140" w:rsidRDefault="0034618A" w:rsidP="00345FDC">
      <w:pPr>
        <w:pStyle w:val="Heading3"/>
      </w:pPr>
      <w:r w:rsidRPr="00DE2140">
        <w:t>Spin rate</w:t>
      </w:r>
    </w:p>
    <w:p w14:paraId="159915C4" w14:textId="77777777" w:rsidR="0034618A" w:rsidRDefault="0034618A" w:rsidP="00345FDC">
      <w:pPr>
        <w:ind w:left="720" w:hanging="720"/>
      </w:pPr>
      <w:r>
        <w:t>V6.4</w:t>
      </w:r>
      <w:r>
        <w:tab/>
        <w:t>For a game approved by the Commission after 1 January 2003, unless the game is to be operated in the approved “specified area</w:t>
      </w:r>
      <w:r>
        <w:rPr>
          <w:rStyle w:val="FootnoteReference"/>
        </w:rPr>
        <w:footnoteReference w:id="1"/>
      </w:r>
      <w:r>
        <w:t>” the spin rate or interval between spins on the gaming machine must not be less than 2.14 seconds per play.</w:t>
      </w:r>
    </w:p>
    <w:p w14:paraId="2CE4C01E" w14:textId="77777777" w:rsidR="0034618A" w:rsidRPr="000A022C" w:rsidRDefault="0034618A" w:rsidP="00345FDC">
      <w:pPr>
        <w:pStyle w:val="Heading3"/>
      </w:pPr>
      <w:r w:rsidRPr="000A022C">
        <w:lastRenderedPageBreak/>
        <w:t>Maximum Bet Limit</w:t>
      </w:r>
    </w:p>
    <w:p w14:paraId="6487C057" w14:textId="6DF5EC0E" w:rsidR="0034618A" w:rsidRDefault="0034618A" w:rsidP="00345FDC">
      <w:pPr>
        <w:ind w:left="720" w:hanging="720"/>
      </w:pPr>
      <w:r w:rsidRPr="00A97F2D">
        <w:t>V6.5</w:t>
      </w:r>
      <w:r>
        <w:tab/>
      </w:r>
      <w:r w:rsidRPr="00A97F2D">
        <w:t>For a game approved by the Commission after 1 January 2003, unless the game is to be operated in the approved “specified area</w:t>
      </w:r>
      <w:r w:rsidRPr="00A97F2D">
        <w:rPr>
          <w:rStyle w:val="FootnoteReference"/>
        </w:rPr>
        <w:footnoteReference w:id="2"/>
      </w:r>
      <w:r w:rsidRPr="00A97F2D">
        <w:t>”</w:t>
      </w:r>
      <w:r w:rsidRPr="004E7E4E">
        <w:rPr>
          <w:i/>
        </w:rPr>
        <w:t xml:space="preserve"> </w:t>
      </w:r>
      <w:r w:rsidRPr="004937FC">
        <w:t>the</w:t>
      </w:r>
      <w:r w:rsidRPr="004E7E4E">
        <w:t xml:space="preserve"> games on gaming machines must not allow a bet above the maximum</w:t>
      </w:r>
      <w:r>
        <w:t xml:space="preserve"> </w:t>
      </w:r>
      <w:r w:rsidRPr="004E7E4E">
        <w:t>amount as determined from time to time by the Minister in accordance with the Act.</w:t>
      </w:r>
    </w:p>
    <w:p w14:paraId="46EAAFA8" w14:textId="77777777" w:rsidR="0034618A" w:rsidRPr="000A022C" w:rsidRDefault="0034618A" w:rsidP="00345FDC">
      <w:pPr>
        <w:pStyle w:val="Heading3"/>
      </w:pPr>
      <w:r w:rsidRPr="000A022C">
        <w:t>Display of time</w:t>
      </w:r>
    </w:p>
    <w:p w14:paraId="3461A902" w14:textId="4BC0F43D" w:rsidR="0034618A" w:rsidRDefault="0034618A" w:rsidP="00345FDC">
      <w:pPr>
        <w:ind w:left="720" w:hanging="720"/>
      </w:pPr>
      <w:r>
        <w:t>V6.6</w:t>
      </w:r>
      <w:r>
        <w:tab/>
        <w:t xml:space="preserve">Current gambling regulations, available on the Commission’s website at </w:t>
      </w:r>
      <w:hyperlink r:id="rId18" w:history="1">
        <w:r w:rsidR="00345FDC" w:rsidRPr="008B25C8">
          <w:rPr>
            <w:rStyle w:val="Hyperlink"/>
          </w:rPr>
          <w:t>www.vcglr.vic.gov.au</w:t>
        </w:r>
      </w:hyperlink>
      <w:r>
        <w:t>, specify the requirements for electronic gaming machines to display the time of day. The regulations include, but are not limited to, the following requirements:</w:t>
      </w:r>
    </w:p>
    <w:p w14:paraId="219D7790" w14:textId="77777777" w:rsidR="0034618A" w:rsidRPr="00AF09F5" w:rsidRDefault="0034618A" w:rsidP="0034618A">
      <w:pPr>
        <w:pStyle w:val="BodyText"/>
        <w:numPr>
          <w:ilvl w:val="0"/>
          <w:numId w:val="44"/>
        </w:numPr>
        <w:rPr>
          <w:sz w:val="22"/>
          <w:szCs w:val="22"/>
        </w:rPr>
      </w:pPr>
      <w:r w:rsidRPr="00AF09F5">
        <w:rPr>
          <w:sz w:val="22"/>
          <w:szCs w:val="22"/>
        </w:rPr>
        <w:t>The time of day must be displayed by a time display which may be located on the video screen (see Diagrams 1 and 2 at the end of this document) of the gaming machine</w:t>
      </w:r>
    </w:p>
    <w:p w14:paraId="31008DE1" w14:textId="77777777" w:rsidR="0034618A" w:rsidRPr="00AF09F5" w:rsidRDefault="0034618A" w:rsidP="0034618A">
      <w:pPr>
        <w:pStyle w:val="BodyText"/>
        <w:numPr>
          <w:ilvl w:val="0"/>
          <w:numId w:val="44"/>
        </w:numPr>
        <w:rPr>
          <w:sz w:val="22"/>
          <w:szCs w:val="22"/>
        </w:rPr>
      </w:pPr>
      <w:r w:rsidRPr="00AF09F5">
        <w:rPr>
          <w:sz w:val="22"/>
          <w:szCs w:val="22"/>
        </w:rPr>
        <w:t>The time of day displayed must be clearly visible to a person playing a game on the gaming machine</w:t>
      </w:r>
    </w:p>
    <w:p w14:paraId="7D4FBDE9" w14:textId="77777777" w:rsidR="0034618A" w:rsidRPr="00AF09F5" w:rsidRDefault="0034618A" w:rsidP="0034618A">
      <w:pPr>
        <w:pStyle w:val="BodyText"/>
        <w:numPr>
          <w:ilvl w:val="0"/>
          <w:numId w:val="44"/>
        </w:numPr>
        <w:rPr>
          <w:sz w:val="22"/>
          <w:szCs w:val="22"/>
        </w:rPr>
      </w:pPr>
      <w:r w:rsidRPr="00AF09F5">
        <w:rPr>
          <w:sz w:val="22"/>
          <w:szCs w:val="22"/>
        </w:rPr>
        <w:t>The time of day displayed must be to an accuracy of within 5 minutes and must indicate whether the hour is before or after noon</w:t>
      </w:r>
    </w:p>
    <w:p w14:paraId="7735974A" w14:textId="77777777" w:rsidR="0034618A" w:rsidRPr="00AF09F5" w:rsidRDefault="0034618A" w:rsidP="0034618A">
      <w:pPr>
        <w:pStyle w:val="BodyText"/>
        <w:numPr>
          <w:ilvl w:val="0"/>
          <w:numId w:val="44"/>
        </w:numPr>
        <w:rPr>
          <w:sz w:val="22"/>
          <w:szCs w:val="22"/>
        </w:rPr>
      </w:pPr>
      <w:r w:rsidRPr="00AF09F5">
        <w:rPr>
          <w:sz w:val="22"/>
          <w:szCs w:val="22"/>
        </w:rPr>
        <w:t>The time of day must be displayed continuously while the machine is operating and available for use for gaming, and</w:t>
      </w:r>
    </w:p>
    <w:p w14:paraId="5DF9F7A1" w14:textId="77777777" w:rsidR="0034618A" w:rsidRPr="00AF09F5" w:rsidRDefault="0034618A" w:rsidP="0034618A">
      <w:pPr>
        <w:pStyle w:val="BodyText"/>
        <w:numPr>
          <w:ilvl w:val="0"/>
          <w:numId w:val="44"/>
        </w:numPr>
        <w:rPr>
          <w:sz w:val="22"/>
          <w:szCs w:val="22"/>
        </w:rPr>
      </w:pPr>
      <w:r w:rsidRPr="00AF09F5">
        <w:rPr>
          <w:sz w:val="22"/>
          <w:szCs w:val="22"/>
        </w:rPr>
        <w:t>The time of day displayed must not obscure any other information relevant to gaming on gaming machines.</w:t>
      </w:r>
    </w:p>
    <w:p w14:paraId="599DBE2B" w14:textId="77777777" w:rsidR="0034618A" w:rsidRPr="00AF09F5" w:rsidRDefault="0034618A" w:rsidP="0034618A">
      <w:pPr>
        <w:pStyle w:val="BodyText"/>
        <w:rPr>
          <w:sz w:val="22"/>
          <w:szCs w:val="22"/>
        </w:rPr>
      </w:pPr>
      <w:r w:rsidRPr="00AF09F5">
        <w:rPr>
          <w:sz w:val="22"/>
          <w:szCs w:val="22"/>
        </w:rPr>
        <w:t>The current regulations provide detailed specifications on the location of time of day on a gaming machine.</w:t>
      </w:r>
    </w:p>
    <w:p w14:paraId="139559EE" w14:textId="77777777" w:rsidR="0034618A" w:rsidRPr="000A022C" w:rsidRDefault="0034618A" w:rsidP="00345FDC">
      <w:pPr>
        <w:pStyle w:val="Heading3"/>
      </w:pPr>
      <w:r w:rsidRPr="000A022C">
        <w:t>Game Play</w:t>
      </w:r>
    </w:p>
    <w:p w14:paraId="63A7BEEC" w14:textId="77777777" w:rsidR="0034618A" w:rsidRPr="000A022C" w:rsidRDefault="0034618A" w:rsidP="00345FDC">
      <w:pPr>
        <w:ind w:left="720" w:hanging="720"/>
      </w:pPr>
      <w:r w:rsidRPr="000A022C">
        <w:t>V6.7</w:t>
      </w:r>
      <w:r>
        <w:tab/>
      </w:r>
      <w:r w:rsidRPr="000A022C">
        <w:t>A game must follow a constant set of rules and must at no time deviate from those rules. A rule change constitutes a different game, although variations to the maximum number of credits bet per game (and/or lines per game) are permitted. This requirement does not preclude implementations of games with multiple parts or features and/or gamble provided that the rules are clear to the player.</w:t>
      </w:r>
    </w:p>
    <w:p w14:paraId="35545E2B" w14:textId="77777777" w:rsidR="0034618A" w:rsidRPr="000A022C" w:rsidRDefault="0034618A" w:rsidP="00345FDC">
      <w:pPr>
        <w:pStyle w:val="Heading3"/>
      </w:pPr>
      <w:r>
        <w:t xml:space="preserve">Multiple Games </w:t>
      </w:r>
      <w:r>
        <w:rPr>
          <w:rFonts w:hint="eastAsia"/>
        </w:rPr>
        <w:t>–</w:t>
      </w:r>
      <w:r>
        <w:rPr>
          <w:rFonts w:hint="eastAsia"/>
        </w:rPr>
        <w:t xml:space="preserve"> </w:t>
      </w:r>
      <w:r w:rsidRPr="000A022C">
        <w:t xml:space="preserve">Selection of Game for Play </w:t>
      </w:r>
    </w:p>
    <w:p w14:paraId="00AD69D2" w14:textId="77777777" w:rsidR="0034618A" w:rsidRDefault="0034618A" w:rsidP="00345FDC">
      <w:pPr>
        <w:ind w:left="720" w:hanging="720"/>
        <w:rPr>
          <w:snapToGrid w:val="0"/>
        </w:rPr>
      </w:pPr>
      <w:r w:rsidRPr="00852456">
        <w:rPr>
          <w:snapToGrid w:val="0"/>
        </w:rPr>
        <w:t>V6.</w:t>
      </w:r>
      <w:r>
        <w:rPr>
          <w:snapToGrid w:val="0"/>
        </w:rPr>
        <w:t>8</w:t>
      </w:r>
      <w:r>
        <w:rPr>
          <w:snapToGrid w:val="0"/>
        </w:rPr>
        <w:tab/>
      </w:r>
      <w:r w:rsidRPr="00852456">
        <w:rPr>
          <w:snapToGrid w:val="0"/>
        </w:rPr>
        <w:t xml:space="preserve">The methodology employed by a patron to select and discard a particular game for play on a multi-game gaming machine must be clearly explained to the patron on the gaming </w:t>
      </w:r>
      <w:proofErr w:type="gramStart"/>
      <w:r w:rsidRPr="00852456">
        <w:rPr>
          <w:snapToGrid w:val="0"/>
        </w:rPr>
        <w:t>machine, and</w:t>
      </w:r>
      <w:proofErr w:type="gramEnd"/>
      <w:r w:rsidRPr="00852456">
        <w:rPr>
          <w:snapToGrid w:val="0"/>
        </w:rPr>
        <w:t xml:space="preserve"> be easily followed.</w:t>
      </w:r>
    </w:p>
    <w:p w14:paraId="17C15ABC" w14:textId="77777777" w:rsidR="0034618A" w:rsidRDefault="0034618A" w:rsidP="00345FDC">
      <w:pPr>
        <w:ind w:left="720" w:hanging="720"/>
        <w:rPr>
          <w:snapToGrid w:val="0"/>
        </w:rPr>
      </w:pPr>
      <w:r w:rsidRPr="00852456">
        <w:rPr>
          <w:snapToGrid w:val="0"/>
        </w:rPr>
        <w:t>V6.</w:t>
      </w:r>
      <w:r>
        <w:rPr>
          <w:snapToGrid w:val="0"/>
        </w:rPr>
        <w:t>9</w:t>
      </w:r>
      <w:r>
        <w:rPr>
          <w:snapToGrid w:val="0"/>
        </w:rPr>
        <w:tab/>
      </w:r>
      <w:r w:rsidRPr="00852456">
        <w:rPr>
          <w:snapToGrid w:val="0"/>
        </w:rPr>
        <w:t>The gaming machine must clearly inform the patron of all games available at that time and offer them for selection.</w:t>
      </w:r>
    </w:p>
    <w:p w14:paraId="6FC28FAC" w14:textId="77777777" w:rsidR="0034618A" w:rsidRPr="00852456" w:rsidRDefault="0034618A" w:rsidP="00345FDC">
      <w:pPr>
        <w:ind w:left="720" w:hanging="720"/>
        <w:rPr>
          <w:snapToGrid w:val="0"/>
        </w:rPr>
      </w:pPr>
      <w:r w:rsidRPr="00852456">
        <w:rPr>
          <w:snapToGrid w:val="0"/>
        </w:rPr>
        <w:t>V6.</w:t>
      </w:r>
      <w:r>
        <w:rPr>
          <w:snapToGrid w:val="0"/>
        </w:rPr>
        <w:t>10</w:t>
      </w:r>
      <w:r>
        <w:rPr>
          <w:snapToGrid w:val="0"/>
        </w:rPr>
        <w:tab/>
      </w:r>
      <w:r w:rsidRPr="00852456">
        <w:rPr>
          <w:snapToGrid w:val="0"/>
        </w:rPr>
        <w:t>The patron must at all times be made aware of which game has been selected for play and is being played, as applicable.</w:t>
      </w:r>
    </w:p>
    <w:p w14:paraId="160EB9BA" w14:textId="77777777" w:rsidR="0034618A" w:rsidRPr="000A022C" w:rsidRDefault="0034618A" w:rsidP="00345FDC">
      <w:pPr>
        <w:pStyle w:val="Heading3"/>
      </w:pPr>
      <w:proofErr w:type="spellStart"/>
      <w:r w:rsidRPr="000A022C">
        <w:lastRenderedPageBreak/>
        <w:t>Autoplay</w:t>
      </w:r>
      <w:proofErr w:type="spellEnd"/>
    </w:p>
    <w:p w14:paraId="4DF7D695" w14:textId="77777777" w:rsidR="0034618A" w:rsidRDefault="0034618A" w:rsidP="00345FDC">
      <w:pPr>
        <w:ind w:left="720" w:hanging="720"/>
        <w:rPr>
          <w:snapToGrid w:val="0"/>
        </w:rPr>
      </w:pPr>
      <w:r>
        <w:t>V6.11</w:t>
      </w:r>
      <w:r>
        <w:tab/>
        <w:t>For a game approved by the Commission after 1 January 2003, unless the game is to be operated in the approved “specified area</w:t>
      </w:r>
      <w:r>
        <w:rPr>
          <w:rStyle w:val="FootnoteReference"/>
        </w:rPr>
        <w:footnoteReference w:id="3"/>
      </w:r>
      <w:r>
        <w:t>” e</w:t>
      </w:r>
      <w:r>
        <w:rPr>
          <w:snapToGrid w:val="0"/>
        </w:rPr>
        <w:t>ach spin or wagering of credits can only be initiated by a distinct and separate activation of the machine by the player</w:t>
      </w:r>
      <w:r>
        <w:rPr>
          <w:snapToGrid w:val="0"/>
          <w:color w:val="000000"/>
        </w:rPr>
        <w:t>.</w:t>
      </w:r>
    </w:p>
    <w:p w14:paraId="37EFECF1" w14:textId="77777777" w:rsidR="0034618A" w:rsidRPr="000A022C" w:rsidRDefault="0034618A" w:rsidP="00345FDC">
      <w:pPr>
        <w:pStyle w:val="Heading3"/>
      </w:pPr>
      <w:r w:rsidRPr="000A022C">
        <w:t>Note Acceptor</w:t>
      </w:r>
    </w:p>
    <w:p w14:paraId="0A61B917" w14:textId="77777777" w:rsidR="0034618A" w:rsidRPr="006D3494" w:rsidRDefault="0034618A" w:rsidP="00345FDC">
      <w:pPr>
        <w:ind w:left="720" w:hanging="720"/>
      </w:pPr>
      <w:r w:rsidRPr="006D3494">
        <w:t>V</w:t>
      </w:r>
      <w:r>
        <w:t>6.12</w:t>
      </w:r>
      <w:r w:rsidRPr="006D3494">
        <w:tab/>
        <w:t xml:space="preserve">For a game approved by the Commission after 1 January 2003, unless the game is to be operated in the </w:t>
      </w:r>
      <w:r>
        <w:t>approved “specified area</w:t>
      </w:r>
      <w:r>
        <w:rPr>
          <w:rStyle w:val="FootnoteReference"/>
        </w:rPr>
        <w:footnoteReference w:id="4"/>
      </w:r>
      <w:r>
        <w:t xml:space="preserve">” </w:t>
      </w:r>
      <w:r w:rsidRPr="006D3494">
        <w:t>the game must not be played with a gaming machine that accepts banknotes with a denomination greater than $50.</w:t>
      </w:r>
    </w:p>
    <w:p w14:paraId="62064B2B" w14:textId="77777777" w:rsidR="0034618A" w:rsidRPr="00482D80" w:rsidRDefault="0034618A" w:rsidP="00345FDC">
      <w:pPr>
        <w:pStyle w:val="Heading3"/>
        <w:rPr>
          <w:snapToGrid w:val="0"/>
        </w:rPr>
      </w:pPr>
      <w:r w:rsidRPr="00482D80">
        <w:rPr>
          <w:snapToGrid w:val="0"/>
        </w:rPr>
        <w:t>Maximum Starting Credits</w:t>
      </w:r>
    </w:p>
    <w:p w14:paraId="267EAA15" w14:textId="77777777" w:rsidR="0034618A" w:rsidRDefault="0034618A" w:rsidP="00345FDC">
      <w:pPr>
        <w:ind w:left="720" w:hanging="720"/>
      </w:pPr>
      <w:r w:rsidRPr="00482D80">
        <w:rPr>
          <w:snapToGrid w:val="0"/>
        </w:rPr>
        <w:t>V</w:t>
      </w:r>
      <w:r>
        <w:rPr>
          <w:snapToGrid w:val="0"/>
        </w:rPr>
        <w:t>6.13</w:t>
      </w:r>
      <w:r w:rsidRPr="00482D80">
        <w:rPr>
          <w:snapToGrid w:val="0"/>
        </w:rPr>
        <w:tab/>
      </w:r>
      <w:r w:rsidRPr="00482D80">
        <w:t>This section applies to gaming machines other than those located in the Melbourne Casino.  When accumulated credits reach a value of $1,000, the gaming machine must not accept any further cash input (coin, note or electronic transfers</w:t>
      </w:r>
      <w:r>
        <w:t xml:space="preserve"> other than prize payments</w:t>
      </w:r>
      <w:r w:rsidRPr="00482D80">
        <w:t>).  Cases where the insertion of a coin or note takes place when the accumulated credit is below $1,000 and the insertion of the coin or note causes the credits to exceed $1,000 are not acceptable i.e. if the accumulated credits are $951, then the bank note acceptor must not accept a note to the value of $50, however it may accept lower note configurations, provided that the accumulated credits will not exceed $1,000.</w:t>
      </w:r>
    </w:p>
    <w:p w14:paraId="644FABF6" w14:textId="77777777" w:rsidR="0034618A" w:rsidRPr="00482D80" w:rsidRDefault="0034618A" w:rsidP="00345FDC">
      <w:pPr>
        <w:ind w:left="720"/>
      </w:pPr>
      <w:r w:rsidRPr="0072225F">
        <w:t xml:space="preserve">Note that electronic transfers </w:t>
      </w:r>
      <w:r>
        <w:t>of EGM or jackpot prizes is permitted, even if the credits displayed exceed $1000.</w:t>
      </w:r>
    </w:p>
    <w:p w14:paraId="5F84EF61" w14:textId="77777777" w:rsidR="0034618A" w:rsidRPr="0072225F" w:rsidRDefault="0034618A" w:rsidP="00345FDC">
      <w:pPr>
        <w:pStyle w:val="Heading3"/>
        <w:rPr>
          <w:snapToGrid w:val="0"/>
        </w:rPr>
      </w:pPr>
      <w:r w:rsidRPr="0072225F">
        <w:rPr>
          <w:snapToGrid w:val="0"/>
        </w:rPr>
        <w:t>Electronic Information for Players</w:t>
      </w:r>
    </w:p>
    <w:p w14:paraId="1E27E9A4" w14:textId="7C3AEDEC" w:rsidR="00345FDC" w:rsidRPr="00345FDC" w:rsidRDefault="0034618A" w:rsidP="005E5502">
      <w:pPr>
        <w:ind w:left="720" w:hanging="720"/>
      </w:pPr>
      <w:r w:rsidRPr="007F7E69">
        <w:t>V</w:t>
      </w:r>
      <w:r>
        <w:t>6.14</w:t>
      </w:r>
      <w:r w:rsidRPr="007F7E69">
        <w:tab/>
        <w:t xml:space="preserve">The requirements for </w:t>
      </w:r>
      <w:r>
        <w:t xml:space="preserve">the electronic display of information by gaming machines </w:t>
      </w:r>
      <w:r w:rsidRPr="007F7E69">
        <w:t xml:space="preserve">are laid down in the </w:t>
      </w:r>
      <w:r>
        <w:t>prevailing Regulations.</w:t>
      </w:r>
      <w:r w:rsidRPr="007F7E69">
        <w:t xml:space="preserve">  </w:t>
      </w:r>
      <w:r>
        <w:t xml:space="preserve">This includes the display of electronic game information, electronic player information and the time of day. </w:t>
      </w:r>
      <w:r w:rsidRPr="007F7E69">
        <w:t>At the time of issu</w:t>
      </w:r>
      <w:r>
        <w:t>e</w:t>
      </w:r>
      <w:r w:rsidRPr="007F7E69">
        <w:t xml:space="preserve"> of this version of the Victorian Appendix, the requirements for electronic game information a</w:t>
      </w:r>
      <w:r>
        <w:t>s stated in the Regulations are:</w:t>
      </w:r>
    </w:p>
    <w:p w14:paraId="58F716C3" w14:textId="09B09136" w:rsidR="0034618A" w:rsidRPr="00766334" w:rsidRDefault="0034618A" w:rsidP="00766334">
      <w:pPr>
        <w:rPr>
          <w:b/>
          <w:bCs/>
        </w:rPr>
      </w:pPr>
      <w:r w:rsidRPr="00766334">
        <w:rPr>
          <w:b/>
          <w:bCs/>
        </w:rPr>
        <w:t>Obligation for display of electronic game information and electronic player</w:t>
      </w:r>
      <w:r w:rsidR="00345FDC" w:rsidRPr="00766334">
        <w:rPr>
          <w:b/>
          <w:bCs/>
        </w:rPr>
        <w:t xml:space="preserve"> </w:t>
      </w:r>
      <w:r w:rsidRPr="00766334">
        <w:rPr>
          <w:b/>
          <w:bCs/>
        </w:rPr>
        <w:t>information:</w:t>
      </w:r>
    </w:p>
    <w:p w14:paraId="1A312EF4" w14:textId="77777777" w:rsidR="0034618A" w:rsidRPr="00766334" w:rsidRDefault="0034618A" w:rsidP="00766334">
      <w:pPr>
        <w:rPr>
          <w:b/>
          <w:bCs/>
          <w:i/>
        </w:rPr>
      </w:pPr>
      <w:r w:rsidRPr="00766334">
        <w:rPr>
          <w:b/>
          <w:bCs/>
          <w:i/>
        </w:rPr>
        <w:t>Gaming machine must generate and display electronic information</w:t>
      </w:r>
    </w:p>
    <w:p w14:paraId="6BE300A2" w14:textId="77777777" w:rsidR="0034618A" w:rsidRPr="00D475F8" w:rsidRDefault="0034618A" w:rsidP="00345FDC">
      <w:pPr>
        <w:pStyle w:val="DraftHeading2"/>
        <w:tabs>
          <w:tab w:val="right" w:pos="1247"/>
        </w:tabs>
        <w:ind w:left="2081" w:hanging="1361"/>
        <w:rPr>
          <w:rFonts w:ascii="Arial" w:hAnsi="Arial" w:cs="Arial"/>
          <w:sz w:val="22"/>
          <w:szCs w:val="22"/>
        </w:rPr>
      </w:pPr>
      <w:r w:rsidRPr="00D475F8">
        <w:rPr>
          <w:rFonts w:ascii="Arial" w:hAnsi="Arial" w:cs="Arial"/>
          <w:sz w:val="22"/>
          <w:szCs w:val="22"/>
        </w:rPr>
        <w:tab/>
        <w:t>(1)</w:t>
      </w:r>
      <w:r w:rsidRPr="00D475F8">
        <w:rPr>
          <w:rFonts w:ascii="Arial" w:hAnsi="Arial" w:cs="Arial"/>
          <w:sz w:val="22"/>
          <w:szCs w:val="22"/>
        </w:rPr>
        <w:tab/>
        <w:t>A venue operator or casino operator who knows, or who could reasonably be expected to know, that a gaming machine is not able to display electronic game information at the instruction of a player must not permit gaming on the gaming machine.</w:t>
      </w:r>
    </w:p>
    <w:p w14:paraId="7E9C3751" w14:textId="77777777" w:rsidR="0034618A" w:rsidRPr="00D475F8" w:rsidRDefault="0034618A" w:rsidP="00345FDC">
      <w:pPr>
        <w:pStyle w:val="DraftHeading2"/>
        <w:tabs>
          <w:tab w:val="right" w:pos="1247"/>
        </w:tabs>
        <w:ind w:left="2081" w:hanging="1361"/>
        <w:rPr>
          <w:rFonts w:ascii="Arial" w:hAnsi="Arial" w:cs="Arial"/>
          <w:sz w:val="22"/>
          <w:szCs w:val="22"/>
        </w:rPr>
      </w:pPr>
      <w:r w:rsidRPr="00D475F8">
        <w:rPr>
          <w:rFonts w:ascii="Arial" w:hAnsi="Arial" w:cs="Arial"/>
          <w:sz w:val="22"/>
          <w:szCs w:val="22"/>
        </w:rPr>
        <w:tab/>
        <w:t>(2)</w:t>
      </w:r>
      <w:r w:rsidRPr="00D475F8">
        <w:rPr>
          <w:rFonts w:ascii="Arial" w:hAnsi="Arial" w:cs="Arial"/>
          <w:sz w:val="22"/>
          <w:szCs w:val="22"/>
        </w:rPr>
        <w:tab/>
        <w:t xml:space="preserve">A venue operator or casino operator who knows, or who could reasonably be expected to know, that a gaming machine is not able to display electronic player information in accordance with </w:t>
      </w:r>
      <w:proofErr w:type="spellStart"/>
      <w:r w:rsidRPr="00D475F8">
        <w:rPr>
          <w:rFonts w:ascii="Arial" w:hAnsi="Arial" w:cs="Arial"/>
          <w:sz w:val="22"/>
          <w:szCs w:val="22"/>
        </w:rPr>
        <w:t>subregulation</w:t>
      </w:r>
      <w:proofErr w:type="spellEnd"/>
      <w:r w:rsidRPr="00D475F8">
        <w:rPr>
          <w:rFonts w:ascii="Arial" w:hAnsi="Arial" w:cs="Arial"/>
          <w:sz w:val="22"/>
          <w:szCs w:val="22"/>
        </w:rPr>
        <w:t xml:space="preserve"> (3) must not permit gaming on that gaming machine.</w:t>
      </w:r>
    </w:p>
    <w:p w14:paraId="4A0310FE" w14:textId="77777777" w:rsidR="0034618A" w:rsidRPr="00D475F8" w:rsidRDefault="0034618A" w:rsidP="00345FDC">
      <w:pPr>
        <w:pStyle w:val="DraftHeading2"/>
        <w:tabs>
          <w:tab w:val="right" w:pos="1247"/>
        </w:tabs>
        <w:ind w:left="2081" w:hanging="1361"/>
        <w:rPr>
          <w:rFonts w:ascii="Arial" w:hAnsi="Arial" w:cs="Arial"/>
          <w:sz w:val="22"/>
          <w:szCs w:val="22"/>
        </w:rPr>
      </w:pPr>
      <w:r w:rsidRPr="00D475F8">
        <w:rPr>
          <w:rFonts w:ascii="Arial" w:hAnsi="Arial" w:cs="Arial"/>
          <w:sz w:val="22"/>
          <w:szCs w:val="22"/>
        </w:rPr>
        <w:lastRenderedPageBreak/>
        <w:tab/>
        <w:t>(3)</w:t>
      </w:r>
      <w:r w:rsidRPr="00D475F8">
        <w:rPr>
          <w:rFonts w:ascii="Arial" w:hAnsi="Arial" w:cs="Arial"/>
          <w:sz w:val="22"/>
          <w:szCs w:val="22"/>
        </w:rPr>
        <w:tab/>
        <w:t xml:space="preserve">A gaming machine is able to display electronic player information in accordance with this </w:t>
      </w:r>
      <w:proofErr w:type="spellStart"/>
      <w:r w:rsidRPr="00D475F8">
        <w:rPr>
          <w:rFonts w:ascii="Arial" w:hAnsi="Arial" w:cs="Arial"/>
          <w:sz w:val="22"/>
          <w:szCs w:val="22"/>
        </w:rPr>
        <w:t>subregulation</w:t>
      </w:r>
      <w:proofErr w:type="spellEnd"/>
      <w:r w:rsidRPr="00D475F8">
        <w:rPr>
          <w:rFonts w:ascii="Arial" w:hAnsi="Arial" w:cs="Arial"/>
          <w:sz w:val="22"/>
          <w:szCs w:val="22"/>
        </w:rPr>
        <w:t xml:space="preserve"> if a player of the gaming machine is able to—</w:t>
      </w:r>
    </w:p>
    <w:p w14:paraId="72AFAFC5" w14:textId="77777777" w:rsidR="0034618A" w:rsidRPr="00D475F8" w:rsidRDefault="0034618A" w:rsidP="00345FDC">
      <w:pPr>
        <w:pStyle w:val="DraftHeading3"/>
        <w:tabs>
          <w:tab w:val="right" w:pos="1757"/>
        </w:tabs>
        <w:ind w:left="2869" w:hanging="709"/>
        <w:rPr>
          <w:rFonts w:ascii="Arial" w:hAnsi="Arial" w:cs="Arial"/>
          <w:sz w:val="22"/>
          <w:szCs w:val="22"/>
        </w:rPr>
      </w:pPr>
      <w:r w:rsidRPr="00D475F8">
        <w:rPr>
          <w:rFonts w:ascii="Arial" w:hAnsi="Arial" w:cs="Arial"/>
          <w:sz w:val="22"/>
          <w:szCs w:val="22"/>
        </w:rPr>
        <w:t>(a)</w:t>
      </w:r>
      <w:r>
        <w:rPr>
          <w:rFonts w:ascii="Arial" w:hAnsi="Arial" w:cs="Arial"/>
          <w:sz w:val="22"/>
          <w:szCs w:val="22"/>
        </w:rPr>
        <w:tab/>
      </w:r>
      <w:r w:rsidRPr="00D475F8">
        <w:rPr>
          <w:rFonts w:ascii="Arial" w:hAnsi="Arial" w:cs="Arial"/>
          <w:sz w:val="22"/>
          <w:szCs w:val="22"/>
        </w:rPr>
        <w:t>instruct the machine to begin generating electronic player information; and</w:t>
      </w:r>
    </w:p>
    <w:p w14:paraId="58F70E0E" w14:textId="77777777" w:rsidR="0034618A" w:rsidRPr="00D475F8" w:rsidRDefault="0034618A" w:rsidP="00345FDC">
      <w:pPr>
        <w:pStyle w:val="DraftHeading3"/>
        <w:tabs>
          <w:tab w:val="right" w:pos="1757"/>
        </w:tabs>
        <w:ind w:left="2869" w:hanging="709"/>
        <w:rPr>
          <w:rFonts w:ascii="Arial" w:hAnsi="Arial" w:cs="Arial"/>
          <w:sz w:val="22"/>
          <w:szCs w:val="22"/>
        </w:rPr>
      </w:pPr>
      <w:r w:rsidRPr="00D475F8">
        <w:rPr>
          <w:rFonts w:ascii="Arial" w:hAnsi="Arial" w:cs="Arial"/>
          <w:sz w:val="22"/>
          <w:szCs w:val="22"/>
        </w:rPr>
        <w:t>(b)</w:t>
      </w:r>
      <w:r>
        <w:rPr>
          <w:rFonts w:ascii="Arial" w:hAnsi="Arial" w:cs="Arial"/>
          <w:sz w:val="22"/>
          <w:szCs w:val="22"/>
        </w:rPr>
        <w:tab/>
      </w:r>
      <w:r w:rsidRPr="00D475F8">
        <w:rPr>
          <w:rFonts w:ascii="Arial" w:hAnsi="Arial" w:cs="Arial"/>
          <w:sz w:val="22"/>
          <w:szCs w:val="22"/>
        </w:rPr>
        <w:t>instruct the machine to display the electronic player information that relates to the period beginning with the instruction referred to in paragraph (a) and ending at the earlier of—</w:t>
      </w:r>
    </w:p>
    <w:p w14:paraId="18E301BC" w14:textId="77777777" w:rsidR="0034618A" w:rsidRPr="00D475F8" w:rsidRDefault="0034618A" w:rsidP="00345FDC">
      <w:pPr>
        <w:pStyle w:val="DraftHeading4"/>
        <w:ind w:left="3298" w:hanging="418"/>
        <w:rPr>
          <w:rFonts w:ascii="Arial" w:hAnsi="Arial" w:cs="Arial"/>
          <w:sz w:val="22"/>
          <w:szCs w:val="22"/>
        </w:rPr>
      </w:pPr>
      <w:r w:rsidRPr="00D475F8">
        <w:rPr>
          <w:rFonts w:ascii="Arial" w:hAnsi="Arial" w:cs="Arial"/>
          <w:sz w:val="22"/>
          <w:szCs w:val="22"/>
        </w:rPr>
        <w:t>(</w:t>
      </w:r>
      <w:proofErr w:type="spellStart"/>
      <w:r w:rsidRPr="00D475F8">
        <w:rPr>
          <w:rFonts w:ascii="Arial" w:hAnsi="Arial" w:cs="Arial"/>
          <w:sz w:val="22"/>
          <w:szCs w:val="22"/>
        </w:rPr>
        <w:t>i</w:t>
      </w:r>
      <w:proofErr w:type="spellEnd"/>
      <w:r w:rsidRPr="00D475F8">
        <w:rPr>
          <w:rFonts w:ascii="Arial" w:hAnsi="Arial" w:cs="Arial"/>
          <w:sz w:val="22"/>
          <w:szCs w:val="22"/>
        </w:rPr>
        <w:t>)</w:t>
      </w:r>
      <w:r>
        <w:rPr>
          <w:rFonts w:ascii="Arial" w:hAnsi="Arial" w:cs="Arial"/>
          <w:sz w:val="22"/>
          <w:szCs w:val="22"/>
        </w:rPr>
        <w:tab/>
      </w:r>
      <w:r w:rsidRPr="00D475F8">
        <w:rPr>
          <w:rFonts w:ascii="Arial" w:hAnsi="Arial" w:cs="Arial"/>
          <w:sz w:val="22"/>
          <w:szCs w:val="22"/>
        </w:rPr>
        <w:t>the time when the player gives the instruction referred to in this paragraph; or</w:t>
      </w:r>
    </w:p>
    <w:p w14:paraId="57C64A2F" w14:textId="77777777" w:rsidR="0034618A" w:rsidRPr="00D475F8" w:rsidRDefault="0034618A" w:rsidP="00345FDC">
      <w:pPr>
        <w:pStyle w:val="DraftHeading4"/>
        <w:ind w:left="3298" w:hanging="418"/>
        <w:rPr>
          <w:rFonts w:ascii="Arial" w:hAnsi="Arial" w:cs="Arial"/>
          <w:sz w:val="22"/>
          <w:szCs w:val="22"/>
        </w:rPr>
      </w:pPr>
      <w:r w:rsidRPr="00D475F8">
        <w:rPr>
          <w:rFonts w:ascii="Arial" w:hAnsi="Arial" w:cs="Arial"/>
          <w:sz w:val="22"/>
          <w:szCs w:val="22"/>
        </w:rPr>
        <w:t>(ii)</w:t>
      </w:r>
      <w:r w:rsidRPr="00D475F8">
        <w:rPr>
          <w:rFonts w:ascii="Arial" w:hAnsi="Arial" w:cs="Arial"/>
          <w:sz w:val="22"/>
          <w:szCs w:val="22"/>
        </w:rPr>
        <w:tab/>
        <w:t>the end of a period of 60 seconds during which no games are played on the machine.</w:t>
      </w:r>
    </w:p>
    <w:p w14:paraId="6D18D273" w14:textId="77777777" w:rsidR="0034618A" w:rsidRDefault="0034618A" w:rsidP="0034618A">
      <w:pPr>
        <w:pStyle w:val="DraftHeading1"/>
        <w:tabs>
          <w:tab w:val="right" w:pos="737"/>
        </w:tabs>
        <w:spacing w:before="0"/>
        <w:ind w:left="1843" w:hanging="425"/>
        <w:rPr>
          <w:rFonts w:ascii="Arial" w:hAnsi="Arial" w:cs="Arial"/>
          <w:i/>
        </w:rPr>
      </w:pPr>
    </w:p>
    <w:p w14:paraId="6C4E7CC3" w14:textId="77777777" w:rsidR="0034618A" w:rsidRPr="00766334" w:rsidRDefault="0034618A" w:rsidP="00766334">
      <w:pPr>
        <w:rPr>
          <w:b/>
          <w:bCs/>
        </w:rPr>
      </w:pPr>
      <w:r w:rsidRPr="00766334">
        <w:rPr>
          <w:b/>
          <w:bCs/>
        </w:rPr>
        <w:t>What is electronic game information?</w:t>
      </w:r>
    </w:p>
    <w:p w14:paraId="1A152FC4" w14:textId="77777777" w:rsidR="0034618A" w:rsidRPr="00A00BAD" w:rsidRDefault="0034618A" w:rsidP="00345FDC">
      <w:pPr>
        <w:pStyle w:val="DraftDefinition2"/>
        <w:spacing w:before="0"/>
        <w:ind w:left="0" w:firstLine="0"/>
        <w:rPr>
          <w:rFonts w:ascii="Arial" w:hAnsi="Arial" w:cs="Arial"/>
          <w:sz w:val="22"/>
          <w:szCs w:val="22"/>
        </w:rPr>
      </w:pPr>
      <w:r w:rsidRPr="00A00BAD">
        <w:rPr>
          <w:rFonts w:ascii="Arial" w:hAnsi="Arial" w:cs="Arial"/>
          <w:b/>
          <w:bCs/>
          <w:i/>
          <w:sz w:val="22"/>
          <w:szCs w:val="22"/>
        </w:rPr>
        <w:t>electronic game information</w:t>
      </w:r>
      <w:r w:rsidRPr="00A00BAD">
        <w:rPr>
          <w:rFonts w:ascii="Arial" w:hAnsi="Arial" w:cs="Arial"/>
          <w:sz w:val="22"/>
          <w:szCs w:val="22"/>
        </w:rPr>
        <w:t xml:space="preserve"> means the following information in relation to a game that may be played on a gaming machine—</w:t>
      </w:r>
    </w:p>
    <w:p w14:paraId="39D62D79" w14:textId="2E82439A" w:rsidR="0034618A" w:rsidRPr="009D2F09" w:rsidRDefault="0034618A" w:rsidP="0034618A">
      <w:pPr>
        <w:pStyle w:val="DraftHeading3"/>
        <w:numPr>
          <w:ilvl w:val="0"/>
          <w:numId w:val="39"/>
        </w:numPr>
        <w:spacing w:before="0"/>
        <w:rPr>
          <w:rFonts w:ascii="Arial" w:hAnsi="Arial" w:cs="Arial"/>
          <w:sz w:val="22"/>
          <w:szCs w:val="22"/>
        </w:rPr>
      </w:pPr>
      <w:r w:rsidRPr="00A00BAD">
        <w:rPr>
          <w:rFonts w:ascii="Arial" w:hAnsi="Arial" w:cs="Arial"/>
          <w:sz w:val="22"/>
          <w:szCs w:val="22"/>
        </w:rPr>
        <w:t xml:space="preserve">the </w:t>
      </w:r>
      <w:r w:rsidRPr="009D2F09">
        <w:rPr>
          <w:rFonts w:ascii="Arial" w:hAnsi="Arial" w:cs="Arial"/>
          <w:sz w:val="22"/>
          <w:szCs w:val="22"/>
        </w:rPr>
        <w:t>return to player of that game;</w:t>
      </w:r>
    </w:p>
    <w:p w14:paraId="689B486E"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 xml:space="preserve">the average number of individual games played for each win, based on one line being played per game, which may be described as "theoretical number of individual games played per win"; </w:t>
      </w:r>
    </w:p>
    <w:p w14:paraId="28369D1F"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 xml:space="preserve">the odds of achieving the 5 most valuable individual winning combinations;  </w:t>
      </w:r>
    </w:p>
    <w:p w14:paraId="52367D16"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the odds of achieving the 5 least valuable individual winning combinations;</w:t>
      </w:r>
    </w:p>
    <w:p w14:paraId="0F699222"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 xml:space="preserve">the maximum and minimum bet options available; </w:t>
      </w:r>
    </w:p>
    <w:p w14:paraId="6017CD5C"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if the gaming machine is part of a linked jackpot arrangement—</w:t>
      </w:r>
    </w:p>
    <w:p w14:paraId="0C2E264E" w14:textId="77777777" w:rsidR="0034618A" w:rsidRPr="009D2F09" w:rsidRDefault="0034618A" w:rsidP="00345FDC">
      <w:pPr>
        <w:pStyle w:val="DraftHeading5"/>
        <w:tabs>
          <w:tab w:val="right" w:pos="3544"/>
        </w:tabs>
        <w:spacing w:before="0"/>
        <w:ind w:left="1865" w:hanging="425"/>
        <w:rPr>
          <w:rFonts w:ascii="Arial" w:hAnsi="Arial" w:cs="Arial"/>
          <w:sz w:val="22"/>
          <w:szCs w:val="22"/>
        </w:rPr>
      </w:pPr>
      <w:r w:rsidRPr="009D2F09">
        <w:rPr>
          <w:rFonts w:ascii="Arial" w:hAnsi="Arial" w:cs="Arial"/>
          <w:sz w:val="22"/>
          <w:szCs w:val="22"/>
        </w:rPr>
        <w:t>(</w:t>
      </w:r>
      <w:proofErr w:type="spellStart"/>
      <w:r w:rsidRPr="009D2F09">
        <w:rPr>
          <w:rFonts w:ascii="Arial" w:hAnsi="Arial" w:cs="Arial"/>
          <w:sz w:val="22"/>
          <w:szCs w:val="22"/>
        </w:rPr>
        <w:t>i</w:t>
      </w:r>
      <w:proofErr w:type="spellEnd"/>
      <w:r w:rsidRPr="009D2F09">
        <w:rPr>
          <w:rFonts w:ascii="Arial" w:hAnsi="Arial" w:cs="Arial"/>
          <w:sz w:val="22"/>
          <w:szCs w:val="22"/>
        </w:rPr>
        <w:t>)</w:t>
      </w:r>
      <w:r w:rsidRPr="009D2F09">
        <w:rPr>
          <w:rFonts w:ascii="Arial" w:hAnsi="Arial" w:cs="Arial"/>
          <w:sz w:val="22"/>
          <w:szCs w:val="22"/>
        </w:rPr>
        <w:tab/>
        <w:t>a statement that the gaming machine is part of a linked jackpot arrangement; and</w:t>
      </w:r>
    </w:p>
    <w:p w14:paraId="618036AE" w14:textId="7926848F" w:rsidR="0034618A" w:rsidRPr="009D2F09" w:rsidRDefault="0034618A" w:rsidP="00345FDC">
      <w:pPr>
        <w:pStyle w:val="DraftHeading5"/>
        <w:tabs>
          <w:tab w:val="right" w:pos="3544"/>
        </w:tabs>
        <w:spacing w:before="0"/>
        <w:ind w:left="1865" w:hanging="425"/>
        <w:rPr>
          <w:rFonts w:ascii="Arial" w:hAnsi="Arial" w:cs="Arial"/>
          <w:sz w:val="22"/>
          <w:szCs w:val="22"/>
        </w:rPr>
      </w:pPr>
      <w:r w:rsidRPr="009D2F09">
        <w:rPr>
          <w:rFonts w:ascii="Arial" w:hAnsi="Arial" w:cs="Arial"/>
          <w:sz w:val="22"/>
          <w:szCs w:val="22"/>
        </w:rPr>
        <w:t>(ii)</w:t>
      </w:r>
      <w:r w:rsidRPr="009D2F09">
        <w:rPr>
          <w:rFonts w:ascii="Arial" w:hAnsi="Arial" w:cs="Arial"/>
          <w:sz w:val="22"/>
          <w:szCs w:val="22"/>
        </w:rPr>
        <w:tab/>
        <w:t>the sum of the return to player contributed by the game and the return to player contributed to the linked jackpot arrangement, which may be described as "total return"; and</w:t>
      </w:r>
    </w:p>
    <w:p w14:paraId="0EBEA1D5" w14:textId="55B85D94" w:rsidR="0034618A" w:rsidRPr="00A00BAD" w:rsidRDefault="0034618A" w:rsidP="00345FDC">
      <w:pPr>
        <w:pStyle w:val="DraftHeading5"/>
        <w:tabs>
          <w:tab w:val="right" w:pos="3544"/>
        </w:tabs>
        <w:spacing w:before="0"/>
        <w:ind w:left="1865" w:hanging="425"/>
        <w:rPr>
          <w:rFonts w:ascii="Arial" w:hAnsi="Arial" w:cs="Arial"/>
          <w:sz w:val="22"/>
          <w:szCs w:val="22"/>
        </w:rPr>
      </w:pPr>
      <w:r w:rsidRPr="009D2F09">
        <w:rPr>
          <w:rFonts w:ascii="Arial" w:hAnsi="Arial" w:cs="Arial"/>
          <w:sz w:val="22"/>
          <w:szCs w:val="22"/>
        </w:rPr>
        <w:t>(iii)</w:t>
      </w:r>
      <w:r w:rsidRPr="009D2F09">
        <w:rPr>
          <w:rFonts w:ascii="Arial" w:hAnsi="Arial" w:cs="Arial"/>
          <w:sz w:val="22"/>
          <w:szCs w:val="22"/>
        </w:rPr>
        <w:tab/>
        <w:t>the return to player of the</w:t>
      </w:r>
      <w:r w:rsidRPr="00A00BAD">
        <w:rPr>
          <w:rFonts w:ascii="Arial" w:hAnsi="Arial" w:cs="Arial"/>
          <w:sz w:val="22"/>
          <w:szCs w:val="22"/>
        </w:rPr>
        <w:t xml:space="preserve"> game contributed by the linked jackpot arrangement;</w:t>
      </w:r>
    </w:p>
    <w:p w14:paraId="42531C14" w14:textId="77777777" w:rsidR="0034618A" w:rsidRDefault="0034618A" w:rsidP="0034618A">
      <w:pPr>
        <w:pStyle w:val="DraftHeading1"/>
        <w:tabs>
          <w:tab w:val="right" w:pos="737"/>
        </w:tabs>
        <w:spacing w:before="0"/>
        <w:ind w:left="1843" w:hanging="425"/>
        <w:rPr>
          <w:rFonts w:ascii="Arial" w:hAnsi="Arial" w:cs="Arial"/>
          <w:b w:val="0"/>
        </w:rPr>
      </w:pPr>
    </w:p>
    <w:p w14:paraId="096911D9" w14:textId="77777777" w:rsidR="0034618A" w:rsidRPr="00766334" w:rsidRDefault="0034618A" w:rsidP="00766334">
      <w:pPr>
        <w:rPr>
          <w:b/>
          <w:bCs/>
        </w:rPr>
      </w:pPr>
      <w:r w:rsidRPr="00766334">
        <w:rPr>
          <w:b/>
          <w:bCs/>
        </w:rPr>
        <w:t>What is electronic player information?</w:t>
      </w:r>
    </w:p>
    <w:p w14:paraId="1EDE587F" w14:textId="77777777" w:rsidR="0034618A" w:rsidRPr="00F146CA" w:rsidRDefault="0034618A" w:rsidP="00345FDC">
      <w:pPr>
        <w:pStyle w:val="DraftDefinition2"/>
        <w:spacing w:before="0"/>
        <w:ind w:left="0" w:firstLine="0"/>
        <w:rPr>
          <w:rFonts w:ascii="Arial" w:hAnsi="Arial" w:cs="Arial"/>
          <w:b/>
          <w:bCs/>
          <w:i/>
          <w:sz w:val="22"/>
          <w:szCs w:val="22"/>
        </w:rPr>
      </w:pPr>
      <w:r w:rsidRPr="00F146CA">
        <w:rPr>
          <w:rFonts w:ascii="Arial" w:hAnsi="Arial" w:cs="Arial"/>
          <w:b/>
          <w:bCs/>
          <w:i/>
          <w:sz w:val="22"/>
          <w:szCs w:val="22"/>
        </w:rPr>
        <w:t xml:space="preserve">electronic player information </w:t>
      </w:r>
      <w:r w:rsidRPr="00F146CA">
        <w:rPr>
          <w:rFonts w:ascii="Arial" w:hAnsi="Arial" w:cs="Arial"/>
          <w:bCs/>
          <w:sz w:val="22"/>
          <w:szCs w:val="22"/>
        </w:rPr>
        <w:t>means the following information in relation to a continuous period of gaming on a gaming machine by an individual player—</w:t>
      </w:r>
    </w:p>
    <w:p w14:paraId="52F5CF7C"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amount of money the player has put into the gaming machine during the period, which may be described as "cash in";</w:t>
      </w:r>
    </w:p>
    <w:p w14:paraId="3B25AF99"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 xml:space="preserve">the amount of money wagered by the player on the gaming machine during the period, which may be described as "credits played"; </w:t>
      </w:r>
    </w:p>
    <w:p w14:paraId="2FCE5B79" w14:textId="77777777" w:rsidR="0034618A" w:rsidRPr="00F146CA" w:rsidRDefault="0034618A" w:rsidP="0034618A">
      <w:pPr>
        <w:pStyle w:val="DraftHeading3"/>
        <w:numPr>
          <w:ilvl w:val="0"/>
          <w:numId w:val="43"/>
        </w:numPr>
        <w:spacing w:before="0"/>
        <w:rPr>
          <w:rFonts w:ascii="Arial" w:hAnsi="Arial" w:cs="Arial"/>
          <w:sz w:val="22"/>
          <w:szCs w:val="22"/>
        </w:rPr>
      </w:pPr>
      <w:r>
        <w:rPr>
          <w:rFonts w:ascii="Arial" w:hAnsi="Arial" w:cs="Arial"/>
          <w:sz w:val="22"/>
          <w:szCs w:val="22"/>
        </w:rPr>
        <w:t>t</w:t>
      </w:r>
      <w:r w:rsidRPr="00F146CA">
        <w:rPr>
          <w:rFonts w:ascii="Arial" w:hAnsi="Arial" w:cs="Arial"/>
          <w:sz w:val="22"/>
          <w:szCs w:val="22"/>
        </w:rPr>
        <w:t>he amount of money won by the player on the gaming machine during the period, which may be described as "credits won";</w:t>
      </w:r>
    </w:p>
    <w:p w14:paraId="1A97F119"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difference between the credits won and the credits played during the period, which may be described as "session win or loss";</w:t>
      </w:r>
    </w:p>
    <w:p w14:paraId="52091224"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amount of money paid out by the machine during the period which may be described as "cash out";</w:t>
      </w:r>
    </w:p>
    <w:p w14:paraId="4109C28C"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amount of money that is currently available for the player to wager on the machine, which may be described as "credits available";</w:t>
      </w:r>
    </w:p>
    <w:p w14:paraId="2E795C09"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time at which the period started;</w:t>
      </w:r>
    </w:p>
    <w:p w14:paraId="00CCA3AF"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current time of day;</w:t>
      </w:r>
    </w:p>
    <w:p w14:paraId="45B01EF4"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length of the period;</w:t>
      </w:r>
    </w:p>
    <w:p w14:paraId="10A06131"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lastRenderedPageBreak/>
        <w:t xml:space="preserve">if amounts won in a jackpot are not included on the credit meter of the gaming machine, a statement that the information displayed does not include amounts won in a jackpot during the </w:t>
      </w:r>
      <w:r>
        <w:rPr>
          <w:rFonts w:ascii="Arial" w:hAnsi="Arial" w:cs="Arial"/>
          <w:sz w:val="22"/>
          <w:szCs w:val="22"/>
        </w:rPr>
        <w:t xml:space="preserve">continuous </w:t>
      </w:r>
      <w:r w:rsidRPr="00F146CA">
        <w:rPr>
          <w:rFonts w:ascii="Arial" w:hAnsi="Arial" w:cs="Arial"/>
          <w:sz w:val="22"/>
          <w:szCs w:val="22"/>
        </w:rPr>
        <w:t>period</w:t>
      </w:r>
      <w:r>
        <w:rPr>
          <w:rFonts w:ascii="Arial" w:hAnsi="Arial" w:cs="Arial"/>
          <w:sz w:val="22"/>
          <w:szCs w:val="22"/>
        </w:rPr>
        <w:t xml:space="preserve"> of gaming</w:t>
      </w:r>
      <w:r w:rsidRPr="00F146CA">
        <w:rPr>
          <w:rFonts w:ascii="Arial" w:hAnsi="Arial" w:cs="Arial"/>
          <w:sz w:val="22"/>
          <w:szCs w:val="22"/>
        </w:rPr>
        <w:t>;</w:t>
      </w:r>
    </w:p>
    <w:p w14:paraId="0799610D" w14:textId="77777777" w:rsidR="00345FDC" w:rsidRPr="00345FDC" w:rsidRDefault="00345FDC" w:rsidP="00345FDC">
      <w:pPr>
        <w:rPr>
          <w:lang w:val="en-AU"/>
        </w:rPr>
      </w:pPr>
    </w:p>
    <w:p w14:paraId="491F0C91" w14:textId="77777777" w:rsidR="0034618A" w:rsidRPr="009A1A5B" w:rsidRDefault="0034618A" w:rsidP="00345FDC">
      <w:pPr>
        <w:pStyle w:val="Heading3"/>
      </w:pPr>
      <w:r w:rsidRPr="009A1A5B">
        <w:t>Interpretation and Examples</w:t>
      </w:r>
    </w:p>
    <w:p w14:paraId="4731EA4C" w14:textId="77777777" w:rsidR="0034618A" w:rsidRPr="007F7E69" w:rsidRDefault="0034618A" w:rsidP="00345FDC">
      <w:pPr>
        <w:ind w:left="720" w:hanging="720"/>
      </w:pPr>
      <w:r w:rsidRPr="007F7E69">
        <w:t>V</w:t>
      </w:r>
      <w:r>
        <w:t>6.15</w:t>
      </w:r>
      <w:r w:rsidRPr="007F7E69">
        <w:tab/>
        <w:t xml:space="preserve">The following interpretations are to be used in conjunction with </w:t>
      </w:r>
      <w:r>
        <w:t>the</w:t>
      </w:r>
      <w:r w:rsidRPr="007F7E69">
        <w:t xml:space="preserve"> requirements</w:t>
      </w:r>
      <w:r>
        <w:t xml:space="preserve"> for </w:t>
      </w:r>
      <w:r w:rsidRPr="004134E7">
        <w:rPr>
          <w:b/>
          <w:i/>
        </w:rPr>
        <w:t>electronic game information</w:t>
      </w:r>
      <w:r w:rsidRPr="007F7E69">
        <w:t>:</w:t>
      </w:r>
    </w:p>
    <w:p w14:paraId="60F6345B" w14:textId="158A1A68" w:rsidR="0034618A" w:rsidRPr="00DE59B1"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u w:val="none"/>
        </w:rPr>
        <w:t xml:space="preserve">if a game operates </w:t>
      </w:r>
      <w:r w:rsidRPr="00DE59B1">
        <w:rPr>
          <w:rFonts w:ascii="Arial" w:hAnsi="Arial" w:cs="Arial"/>
          <w:sz w:val="22"/>
          <w:szCs w:val="22"/>
          <w:u w:val="none"/>
          <w:lang w:val="en-US"/>
        </w:rPr>
        <w:t>with more than one Return to Player</w:t>
      </w:r>
      <w:r>
        <w:rPr>
          <w:rFonts w:ascii="Arial" w:hAnsi="Arial" w:cs="Arial"/>
          <w:sz w:val="22"/>
          <w:szCs w:val="22"/>
          <w:u w:val="none"/>
          <w:lang w:val="en-US"/>
        </w:rPr>
        <w:t xml:space="preserve"> </w:t>
      </w:r>
      <w:r w:rsidRPr="00DE59B1">
        <w:rPr>
          <w:rFonts w:ascii="Arial" w:hAnsi="Arial" w:cs="Arial"/>
          <w:sz w:val="22"/>
          <w:szCs w:val="22"/>
          <w:u w:val="none"/>
          <w:lang w:val="en-US"/>
        </w:rPr>
        <w:t>or with a range of RTP, the range of RTPs must be displayed. If the game is part of a linked jackpot arrangement, the total theoretical RTP of this game and the jackpot contribution rate must be displayed.</w:t>
      </w:r>
    </w:p>
    <w:p w14:paraId="60438396" w14:textId="77777777" w:rsidR="0034618A" w:rsidRPr="00DE59B1"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szCs w:val="22"/>
          <w:u w:val="none"/>
          <w:lang w:val="en-US"/>
        </w:rPr>
        <w:t>where the average number of individual games played per any win, based on one line being played per game, is not possible, the average number of individual games played per any win, can be based on the minimum bet per game play.</w:t>
      </w:r>
    </w:p>
    <w:p w14:paraId="191C0D5A" w14:textId="77777777" w:rsidR="0034618A" w:rsidRPr="00DE59B1"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szCs w:val="22"/>
          <w:u w:val="none"/>
          <w:lang w:val="en-US"/>
        </w:rPr>
        <w:t xml:space="preserve">In relation to the chances or odds of achieving the top 5 and bottom 5 winning combinations, where more than one symbol pays the same amount, either the order by chance, hierarchy or alphabetical value can be used for display. For example, if five “Tens” and five “Queens” pay the same amount the “Queens” combination may be displayed first. </w:t>
      </w:r>
      <w:proofErr w:type="gramStart"/>
      <w:r w:rsidRPr="00DE59B1">
        <w:rPr>
          <w:rFonts w:ascii="Arial" w:hAnsi="Arial" w:cs="Arial"/>
          <w:sz w:val="22"/>
          <w:szCs w:val="22"/>
          <w:u w:val="none"/>
          <w:lang w:val="en-US"/>
        </w:rPr>
        <w:t>Similarly</w:t>
      </w:r>
      <w:proofErr w:type="gramEnd"/>
      <w:r w:rsidRPr="00DE59B1">
        <w:rPr>
          <w:rFonts w:ascii="Arial" w:hAnsi="Arial" w:cs="Arial"/>
          <w:sz w:val="22"/>
          <w:szCs w:val="22"/>
          <w:u w:val="none"/>
          <w:lang w:val="en-US"/>
        </w:rPr>
        <w:t xml:space="preserve"> if five “Apples” and five “Oranges” pay the same amount the “Apples” may be displayed first.</w:t>
      </w:r>
    </w:p>
    <w:p w14:paraId="5B1EC6FE" w14:textId="77777777" w:rsidR="00345FDC" w:rsidRPr="00345FDC"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szCs w:val="22"/>
          <w:u w:val="none"/>
          <w:lang w:val="en-US"/>
        </w:rPr>
        <w:t xml:space="preserve">If an automatic timeout period is implemented for displaying the electronic game information, the timeout period must not be less than 30 seconds. </w:t>
      </w:r>
      <w:bookmarkStart w:id="14" w:name="_Hlk441523"/>
    </w:p>
    <w:bookmarkEnd w:id="14"/>
    <w:p w14:paraId="0B2DA60A" w14:textId="77777777" w:rsidR="0034618A" w:rsidRPr="0047660E" w:rsidRDefault="0034618A" w:rsidP="0034618A">
      <w:pPr>
        <w:pStyle w:val="BodyTextIndent3"/>
        <w:spacing w:after="50"/>
        <w:ind w:left="2430"/>
        <w:rPr>
          <w:rFonts w:ascii="Arial" w:hAnsi="Arial" w:cs="Arial"/>
          <w:sz w:val="22"/>
          <w:u w:val="none"/>
        </w:rPr>
      </w:pPr>
    </w:p>
    <w:p w14:paraId="5C4A3DF0" w14:textId="77777777" w:rsidR="00854F20" w:rsidRDefault="0034618A" w:rsidP="00854F20">
      <w:pPr>
        <w:pStyle w:val="BodyTextIndent3"/>
        <w:spacing w:after="50"/>
        <w:rPr>
          <w:rFonts w:ascii="Arial" w:hAnsi="Arial" w:cs="Arial"/>
          <w:sz w:val="22"/>
          <w:u w:val="none"/>
        </w:rPr>
      </w:pPr>
      <w:r w:rsidRPr="00DE59B1">
        <w:rPr>
          <w:rFonts w:ascii="Arial" w:hAnsi="Arial" w:cs="Arial"/>
          <w:sz w:val="22"/>
          <w:szCs w:val="22"/>
          <w:u w:val="none"/>
          <w:lang w:val="en-US"/>
        </w:rPr>
        <w:t xml:space="preserve">For </w:t>
      </w:r>
      <w:proofErr w:type="gramStart"/>
      <w:r w:rsidRPr="00DE59B1">
        <w:rPr>
          <w:rFonts w:ascii="Arial" w:hAnsi="Arial" w:cs="Arial"/>
          <w:sz w:val="22"/>
          <w:szCs w:val="22"/>
          <w:u w:val="none"/>
          <w:lang w:val="en-US"/>
        </w:rPr>
        <w:t>example</w:t>
      </w:r>
      <w:proofErr w:type="gramEnd"/>
      <w:r w:rsidRPr="00DE59B1">
        <w:rPr>
          <w:rFonts w:ascii="Arial" w:hAnsi="Arial" w:cs="Arial"/>
          <w:sz w:val="22"/>
          <w:szCs w:val="22"/>
          <w:u w:val="none"/>
          <w:lang w:val="en-US"/>
        </w:rPr>
        <w:t xml:space="preserve"> the content and format of the EGI, see screen below</w:t>
      </w:r>
      <w:r>
        <w:rPr>
          <w:rFonts w:ascii="Arial" w:hAnsi="Arial" w:cs="Arial"/>
          <w:sz w:val="22"/>
          <w:szCs w:val="22"/>
          <w:u w:val="none"/>
          <w:lang w:val="en-US"/>
        </w:rPr>
        <w:t>:</w:t>
      </w:r>
    </w:p>
    <w:p w14:paraId="3D1E9212" w14:textId="1F6455CA" w:rsidR="0034618A" w:rsidRPr="00854F20" w:rsidRDefault="0012661B" w:rsidP="00854F20">
      <w:pPr>
        <w:rPr>
          <w:rFonts w:ascii="Arial" w:hAnsi="Arial" w:cs="Arial"/>
        </w:rPr>
      </w:pPr>
      <w:r w:rsidRPr="00B85D69">
        <w:rPr>
          <w:noProof/>
          <w:lang w:val="en-US"/>
        </w:rPr>
        <w:drawing>
          <wp:inline distT="0" distB="0" distL="0" distR="0" wp14:anchorId="673BD6C9" wp14:editId="7DABC3E5">
            <wp:extent cx="5684520" cy="3238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4520" cy="3238500"/>
                    </a:xfrm>
                    <a:prstGeom prst="rect">
                      <a:avLst/>
                    </a:prstGeom>
                    <a:noFill/>
                    <a:ln>
                      <a:noFill/>
                    </a:ln>
                  </pic:spPr>
                </pic:pic>
              </a:graphicData>
            </a:graphic>
          </wp:inline>
        </w:drawing>
      </w:r>
      <w:r w:rsidR="0034618A" w:rsidRPr="0004174F">
        <w:t xml:space="preserve"> </w:t>
      </w:r>
    </w:p>
    <w:p w14:paraId="38CFF5E1" w14:textId="4D2B3AD0" w:rsidR="0034618A" w:rsidRPr="00854F20" w:rsidRDefault="0034618A" w:rsidP="00854F20">
      <w:pPr>
        <w:autoSpaceDE w:val="0"/>
        <w:autoSpaceDN w:val="0"/>
        <w:adjustRightInd w:val="0"/>
        <w:rPr>
          <w:rFonts w:ascii="Arial" w:hAnsi="Arial" w:cs="Arial"/>
          <w:sz w:val="20"/>
          <w:lang w:val="en-US"/>
        </w:rPr>
      </w:pPr>
      <w:r w:rsidRPr="00482D80">
        <w:rPr>
          <w:rFonts w:ascii="Arial" w:hAnsi="Arial" w:cs="Arial"/>
          <w:szCs w:val="22"/>
          <w:lang w:val="en-US"/>
        </w:rPr>
        <w:t>The above screen shows the top 5 winning combinations displayed by value prize from highest to lowest and the bottom 5 from lowest to highest.</w:t>
      </w:r>
    </w:p>
    <w:p w14:paraId="1D189487" w14:textId="77777777" w:rsidR="0034618A" w:rsidRDefault="0034618A" w:rsidP="00854F20">
      <w:pPr>
        <w:pStyle w:val="Numberlistlegal"/>
        <w:numPr>
          <w:ilvl w:val="0"/>
          <w:numId w:val="0"/>
        </w:numPr>
      </w:pPr>
      <w:r w:rsidRPr="009A1A5B">
        <w:t>V</w:t>
      </w:r>
      <w:r>
        <w:t>6.16</w:t>
      </w:r>
      <w:r w:rsidRPr="009A1A5B">
        <w:tab/>
      </w:r>
      <w:r>
        <w:t xml:space="preserve">the following are examples of how </w:t>
      </w:r>
      <w:r w:rsidRPr="009A1A5B">
        <w:rPr>
          <w:b/>
          <w:i/>
        </w:rPr>
        <w:t>electronic player information</w:t>
      </w:r>
      <w:r>
        <w:t xml:space="preserve"> may be displayed.</w:t>
      </w:r>
    </w:p>
    <w:p w14:paraId="5306C613" w14:textId="77777777" w:rsidR="0034618A" w:rsidRPr="00482D80" w:rsidRDefault="0034618A" w:rsidP="00854F20">
      <w:pPr>
        <w:keepNext/>
        <w:spacing w:after="50"/>
        <w:ind w:firstLine="720"/>
        <w:jc w:val="both"/>
        <w:rPr>
          <w:rFonts w:ascii="Arial" w:hAnsi="Arial" w:cs="Arial"/>
          <w:snapToGrid w:val="0"/>
        </w:rPr>
      </w:pPr>
      <w:r w:rsidRPr="00482D80">
        <w:rPr>
          <w:rFonts w:ascii="Arial" w:hAnsi="Arial" w:cs="Arial"/>
          <w:snapToGrid w:val="0"/>
        </w:rPr>
        <w:lastRenderedPageBreak/>
        <w:t>Example 1</w:t>
      </w:r>
    </w:p>
    <w:p w14:paraId="45E9A83C" w14:textId="77777777" w:rsidR="0034618A" w:rsidRPr="009A1A5B" w:rsidRDefault="0034618A" w:rsidP="00854F20">
      <w:pPr>
        <w:keepNext/>
        <w:spacing w:after="50"/>
        <w:ind w:left="720"/>
        <w:jc w:val="both"/>
        <w:rPr>
          <w:rFonts w:ascii="Arial" w:hAnsi="Arial" w:cs="Arial"/>
          <w:snapToGrid w:val="0"/>
          <w:sz w:val="20"/>
        </w:rPr>
      </w:pPr>
      <w:r w:rsidRPr="009A1A5B">
        <w:rPr>
          <w:rFonts w:ascii="Arial" w:hAnsi="Arial" w:cs="Arial"/>
          <w:snapToGrid w:val="0"/>
          <w:sz w:val="20"/>
        </w:rPr>
        <w:t>The following is an example of electronic player information on a system where all jackpot win amounts are included on the credit meter:</w:t>
      </w:r>
    </w:p>
    <w:tbl>
      <w:tblPr>
        <w:tblW w:w="0" w:type="auto"/>
        <w:tblInd w:w="1332" w:type="dxa"/>
        <w:tblLayout w:type="fixed"/>
        <w:tblLook w:val="0000" w:firstRow="0" w:lastRow="0" w:firstColumn="0" w:lastColumn="0" w:noHBand="0" w:noVBand="0"/>
      </w:tblPr>
      <w:tblGrid>
        <w:gridCol w:w="3119"/>
        <w:gridCol w:w="2126"/>
      </w:tblGrid>
      <w:tr w:rsidR="0034618A" w:rsidRPr="009A1A5B" w14:paraId="67BB2396" w14:textId="77777777" w:rsidTr="00854F20">
        <w:tc>
          <w:tcPr>
            <w:tcW w:w="3119" w:type="dxa"/>
          </w:tcPr>
          <w:p w14:paraId="2FE7DDC4"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Cash In</w:t>
            </w:r>
          </w:p>
        </w:tc>
        <w:tc>
          <w:tcPr>
            <w:tcW w:w="2126" w:type="dxa"/>
          </w:tcPr>
          <w:p w14:paraId="6D33651E"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$100.00</w:t>
            </w:r>
          </w:p>
        </w:tc>
      </w:tr>
      <w:tr w:rsidR="0034618A" w:rsidRPr="009A1A5B" w14:paraId="510F2A3F" w14:textId="77777777" w:rsidTr="00854F20">
        <w:tc>
          <w:tcPr>
            <w:tcW w:w="3119" w:type="dxa"/>
          </w:tcPr>
          <w:p w14:paraId="11511CB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Credits played</w:t>
            </w:r>
          </w:p>
        </w:tc>
        <w:tc>
          <w:tcPr>
            <w:tcW w:w="2126" w:type="dxa"/>
          </w:tcPr>
          <w:p w14:paraId="6FC76F8B"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$245.50</w:t>
            </w:r>
          </w:p>
        </w:tc>
      </w:tr>
      <w:tr w:rsidR="0034618A" w:rsidRPr="009A1A5B" w14:paraId="3D6EEAE2" w14:textId="77777777" w:rsidTr="00854F20">
        <w:tc>
          <w:tcPr>
            <w:tcW w:w="3119" w:type="dxa"/>
          </w:tcPr>
          <w:p w14:paraId="4DD48B60"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Credits Won</w:t>
            </w:r>
          </w:p>
        </w:tc>
        <w:tc>
          <w:tcPr>
            <w:tcW w:w="2126" w:type="dxa"/>
          </w:tcPr>
          <w:p w14:paraId="6DF3CF91"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$239.70</w:t>
            </w:r>
          </w:p>
        </w:tc>
      </w:tr>
      <w:tr w:rsidR="0034618A" w:rsidRPr="009A1A5B" w14:paraId="39FC8AC6" w14:textId="77777777" w:rsidTr="00854F20">
        <w:tc>
          <w:tcPr>
            <w:tcW w:w="3119" w:type="dxa"/>
          </w:tcPr>
          <w:p w14:paraId="6335A7A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Session Win or (Loss)</w:t>
            </w:r>
          </w:p>
        </w:tc>
        <w:tc>
          <w:tcPr>
            <w:tcW w:w="2126" w:type="dxa"/>
          </w:tcPr>
          <w:p w14:paraId="1C6DC3C8"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($5.80)</w:t>
            </w:r>
          </w:p>
        </w:tc>
      </w:tr>
      <w:tr w:rsidR="0034618A" w:rsidRPr="009A1A5B" w14:paraId="3BFC4FF2" w14:textId="77777777" w:rsidTr="00854F20">
        <w:tc>
          <w:tcPr>
            <w:tcW w:w="3119" w:type="dxa"/>
          </w:tcPr>
          <w:p w14:paraId="2864B3D5"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Cash out</w:t>
            </w:r>
          </w:p>
        </w:tc>
        <w:tc>
          <w:tcPr>
            <w:tcW w:w="2126" w:type="dxa"/>
          </w:tcPr>
          <w:p w14:paraId="3A53CD6B"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$0.00</w:t>
            </w:r>
          </w:p>
        </w:tc>
      </w:tr>
      <w:tr w:rsidR="0034618A" w:rsidRPr="009A1A5B" w14:paraId="42F60652" w14:textId="77777777" w:rsidTr="00854F20">
        <w:tc>
          <w:tcPr>
            <w:tcW w:w="3119" w:type="dxa"/>
          </w:tcPr>
          <w:p w14:paraId="5993DB1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Credits available</w:t>
            </w:r>
          </w:p>
        </w:tc>
        <w:tc>
          <w:tcPr>
            <w:tcW w:w="2126" w:type="dxa"/>
          </w:tcPr>
          <w:p w14:paraId="1848FBF1"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$94.20</w:t>
            </w:r>
          </w:p>
        </w:tc>
      </w:tr>
      <w:tr w:rsidR="0034618A" w:rsidRPr="009A1A5B" w14:paraId="43D004D8" w14:textId="77777777" w:rsidTr="00854F20">
        <w:tc>
          <w:tcPr>
            <w:tcW w:w="3119" w:type="dxa"/>
          </w:tcPr>
          <w:p w14:paraId="735D5359"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Time commenced</w:t>
            </w:r>
          </w:p>
        </w:tc>
        <w:tc>
          <w:tcPr>
            <w:tcW w:w="2126" w:type="dxa"/>
          </w:tcPr>
          <w:p w14:paraId="5E537C2F"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8:48 pm</w:t>
            </w:r>
          </w:p>
        </w:tc>
      </w:tr>
      <w:tr w:rsidR="0034618A" w:rsidRPr="009A1A5B" w14:paraId="139D161C" w14:textId="77777777" w:rsidTr="00854F20">
        <w:tc>
          <w:tcPr>
            <w:tcW w:w="3119" w:type="dxa"/>
          </w:tcPr>
          <w:p w14:paraId="1E56B04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Current time</w:t>
            </w:r>
          </w:p>
        </w:tc>
        <w:tc>
          <w:tcPr>
            <w:tcW w:w="2126" w:type="dxa"/>
          </w:tcPr>
          <w:p w14:paraId="7EB57D83"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10:52 pm</w:t>
            </w:r>
          </w:p>
        </w:tc>
      </w:tr>
      <w:tr w:rsidR="0034618A" w:rsidRPr="009A1A5B" w14:paraId="208E2BF7" w14:textId="77777777" w:rsidTr="00854F20">
        <w:tc>
          <w:tcPr>
            <w:tcW w:w="3119" w:type="dxa"/>
          </w:tcPr>
          <w:p w14:paraId="0C65EC0B"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Total time played</w:t>
            </w:r>
          </w:p>
        </w:tc>
        <w:tc>
          <w:tcPr>
            <w:tcW w:w="2126" w:type="dxa"/>
          </w:tcPr>
          <w:p w14:paraId="3D1D1A7E"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 hours 4 minutes</w:t>
            </w:r>
          </w:p>
        </w:tc>
      </w:tr>
    </w:tbl>
    <w:p w14:paraId="0939748E" w14:textId="77777777" w:rsidR="0034618A" w:rsidRPr="00482D80" w:rsidRDefault="0034618A" w:rsidP="00854F20">
      <w:pPr>
        <w:spacing w:after="50"/>
        <w:ind w:firstLine="720"/>
        <w:jc w:val="both"/>
        <w:rPr>
          <w:rFonts w:ascii="Arial" w:hAnsi="Arial" w:cs="Arial"/>
          <w:snapToGrid w:val="0"/>
        </w:rPr>
      </w:pPr>
      <w:r w:rsidRPr="00482D80">
        <w:rPr>
          <w:rFonts w:ascii="Arial" w:hAnsi="Arial" w:cs="Arial"/>
          <w:snapToGrid w:val="0"/>
        </w:rPr>
        <w:t>Example 2</w:t>
      </w:r>
    </w:p>
    <w:p w14:paraId="7C392C8C" w14:textId="77777777" w:rsidR="0034618A" w:rsidRPr="009A1A5B" w:rsidRDefault="0034618A" w:rsidP="00854F20">
      <w:pPr>
        <w:spacing w:after="50"/>
        <w:ind w:left="720"/>
        <w:jc w:val="both"/>
        <w:rPr>
          <w:rFonts w:ascii="Arial" w:hAnsi="Arial" w:cs="Arial"/>
          <w:snapToGrid w:val="0"/>
          <w:sz w:val="20"/>
        </w:rPr>
      </w:pPr>
      <w:r w:rsidRPr="009A1A5B">
        <w:rPr>
          <w:rFonts w:ascii="Arial" w:hAnsi="Arial" w:cs="Arial"/>
          <w:snapToGrid w:val="0"/>
          <w:sz w:val="20"/>
        </w:rPr>
        <w:t>The following is an example of electronic player information on a system where some jackpot win amounts are not included on the credit meter:</w:t>
      </w:r>
    </w:p>
    <w:tbl>
      <w:tblPr>
        <w:tblW w:w="0" w:type="auto"/>
        <w:tblInd w:w="1332" w:type="dxa"/>
        <w:tblLayout w:type="fixed"/>
        <w:tblLook w:val="0000" w:firstRow="0" w:lastRow="0" w:firstColumn="0" w:lastColumn="0" w:noHBand="0" w:noVBand="0"/>
      </w:tblPr>
      <w:tblGrid>
        <w:gridCol w:w="3119"/>
        <w:gridCol w:w="2126"/>
      </w:tblGrid>
      <w:tr w:rsidR="0034618A" w:rsidRPr="009A1A5B" w14:paraId="0F6D7B28" w14:textId="77777777" w:rsidTr="00854F20">
        <w:tc>
          <w:tcPr>
            <w:tcW w:w="3119" w:type="dxa"/>
          </w:tcPr>
          <w:p w14:paraId="386EE335"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Cash In</w:t>
            </w:r>
          </w:p>
        </w:tc>
        <w:tc>
          <w:tcPr>
            <w:tcW w:w="2126" w:type="dxa"/>
          </w:tcPr>
          <w:p w14:paraId="110F34E9"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$100.00</w:t>
            </w:r>
          </w:p>
        </w:tc>
      </w:tr>
      <w:tr w:rsidR="0034618A" w:rsidRPr="009A1A5B" w14:paraId="31CCDB59" w14:textId="77777777" w:rsidTr="00854F20">
        <w:tc>
          <w:tcPr>
            <w:tcW w:w="3119" w:type="dxa"/>
          </w:tcPr>
          <w:p w14:paraId="761A5CF5"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Credits played</w:t>
            </w:r>
          </w:p>
        </w:tc>
        <w:tc>
          <w:tcPr>
            <w:tcW w:w="2126" w:type="dxa"/>
          </w:tcPr>
          <w:p w14:paraId="6C6D2261"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$245.50</w:t>
            </w:r>
          </w:p>
        </w:tc>
      </w:tr>
      <w:tr w:rsidR="0034618A" w:rsidRPr="009A1A5B" w14:paraId="2D1588CD" w14:textId="77777777" w:rsidTr="00854F20">
        <w:tc>
          <w:tcPr>
            <w:tcW w:w="3119" w:type="dxa"/>
          </w:tcPr>
          <w:p w14:paraId="1B07C5C4"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Credits Won</w:t>
            </w:r>
          </w:p>
        </w:tc>
        <w:tc>
          <w:tcPr>
            <w:tcW w:w="2126" w:type="dxa"/>
          </w:tcPr>
          <w:p w14:paraId="143AC147"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$239.70*</w:t>
            </w:r>
          </w:p>
        </w:tc>
      </w:tr>
      <w:tr w:rsidR="0034618A" w:rsidRPr="009A1A5B" w14:paraId="12FB4082" w14:textId="77777777" w:rsidTr="00854F20">
        <w:tc>
          <w:tcPr>
            <w:tcW w:w="3119" w:type="dxa"/>
          </w:tcPr>
          <w:p w14:paraId="2E2DE94E"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Session Win or (Loss)</w:t>
            </w:r>
          </w:p>
        </w:tc>
        <w:tc>
          <w:tcPr>
            <w:tcW w:w="2126" w:type="dxa"/>
          </w:tcPr>
          <w:p w14:paraId="325C1E18"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($5.</w:t>
            </w:r>
            <w:proofErr w:type="gramStart"/>
            <w:r w:rsidRPr="009A1A5B">
              <w:rPr>
                <w:rFonts w:ascii="Arial" w:hAnsi="Arial" w:cs="Arial"/>
                <w:snapToGrid w:val="0"/>
                <w:sz w:val="20"/>
              </w:rPr>
              <w:t>80)*</w:t>
            </w:r>
            <w:proofErr w:type="gramEnd"/>
          </w:p>
        </w:tc>
      </w:tr>
      <w:tr w:rsidR="0034618A" w:rsidRPr="009A1A5B" w14:paraId="21721D4F" w14:textId="77777777" w:rsidTr="00854F20">
        <w:tc>
          <w:tcPr>
            <w:tcW w:w="3119" w:type="dxa"/>
          </w:tcPr>
          <w:p w14:paraId="4BE68122"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Cash out</w:t>
            </w:r>
          </w:p>
        </w:tc>
        <w:tc>
          <w:tcPr>
            <w:tcW w:w="2126" w:type="dxa"/>
          </w:tcPr>
          <w:p w14:paraId="64F4E13F"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$0.00</w:t>
            </w:r>
          </w:p>
        </w:tc>
      </w:tr>
      <w:tr w:rsidR="0034618A" w:rsidRPr="009A1A5B" w14:paraId="5F98ECA1" w14:textId="77777777" w:rsidTr="00854F20">
        <w:tc>
          <w:tcPr>
            <w:tcW w:w="3119" w:type="dxa"/>
          </w:tcPr>
          <w:p w14:paraId="31DB16FF"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Credits available</w:t>
            </w:r>
          </w:p>
        </w:tc>
        <w:tc>
          <w:tcPr>
            <w:tcW w:w="2126" w:type="dxa"/>
          </w:tcPr>
          <w:p w14:paraId="3D0E106D"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$94.20*</w:t>
            </w:r>
          </w:p>
        </w:tc>
      </w:tr>
      <w:tr w:rsidR="0034618A" w:rsidRPr="009A1A5B" w14:paraId="493715E5" w14:textId="77777777" w:rsidTr="00854F20">
        <w:tc>
          <w:tcPr>
            <w:tcW w:w="3119" w:type="dxa"/>
          </w:tcPr>
          <w:p w14:paraId="08BABDD3"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Time commenced</w:t>
            </w:r>
          </w:p>
        </w:tc>
        <w:tc>
          <w:tcPr>
            <w:tcW w:w="2126" w:type="dxa"/>
          </w:tcPr>
          <w:p w14:paraId="7F10F940"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8:48 pm</w:t>
            </w:r>
          </w:p>
        </w:tc>
      </w:tr>
      <w:tr w:rsidR="0034618A" w:rsidRPr="009A1A5B" w14:paraId="076CFD4F" w14:textId="77777777" w:rsidTr="00854F20">
        <w:tc>
          <w:tcPr>
            <w:tcW w:w="3119" w:type="dxa"/>
          </w:tcPr>
          <w:p w14:paraId="614FBF97"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Current time</w:t>
            </w:r>
          </w:p>
        </w:tc>
        <w:tc>
          <w:tcPr>
            <w:tcW w:w="2126" w:type="dxa"/>
          </w:tcPr>
          <w:p w14:paraId="4B75F60C"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10:52 pm</w:t>
            </w:r>
          </w:p>
        </w:tc>
      </w:tr>
      <w:tr w:rsidR="0034618A" w:rsidRPr="009A1A5B" w14:paraId="51325604" w14:textId="77777777" w:rsidTr="00854F20">
        <w:tc>
          <w:tcPr>
            <w:tcW w:w="3119" w:type="dxa"/>
          </w:tcPr>
          <w:p w14:paraId="7B3E7618"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Total time played</w:t>
            </w:r>
          </w:p>
        </w:tc>
        <w:tc>
          <w:tcPr>
            <w:tcW w:w="2126" w:type="dxa"/>
          </w:tcPr>
          <w:p w14:paraId="264571FA"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 hours 4 minutes</w:t>
            </w:r>
          </w:p>
        </w:tc>
      </w:tr>
    </w:tbl>
    <w:p w14:paraId="131ABB43" w14:textId="77777777" w:rsidR="0034618A" w:rsidRDefault="0034618A" w:rsidP="00854F20">
      <w:pPr>
        <w:spacing w:after="50"/>
        <w:ind w:left="1440"/>
        <w:jc w:val="both"/>
        <w:rPr>
          <w:rFonts w:ascii="Arial" w:hAnsi="Arial" w:cs="Arial"/>
          <w:snapToGrid w:val="0"/>
          <w:sz w:val="20"/>
        </w:rPr>
      </w:pPr>
      <w:r w:rsidRPr="009A1A5B">
        <w:rPr>
          <w:rFonts w:ascii="Arial" w:hAnsi="Arial" w:cs="Arial"/>
          <w:snapToGrid w:val="0"/>
          <w:sz w:val="20"/>
        </w:rPr>
        <w:t>*These totals exclude jackpot amounts not included on the credit meter.</w:t>
      </w:r>
    </w:p>
    <w:p w14:paraId="038EAAB9" w14:textId="77777777" w:rsidR="0034618A" w:rsidRDefault="0034618A" w:rsidP="0034618A">
      <w:pPr>
        <w:spacing w:after="50"/>
        <w:ind w:left="2160"/>
        <w:jc w:val="both"/>
        <w:rPr>
          <w:rFonts w:ascii="Arial" w:hAnsi="Arial" w:cs="Arial"/>
          <w:snapToGrid w:val="0"/>
          <w:sz w:val="20"/>
        </w:rPr>
      </w:pPr>
    </w:p>
    <w:p w14:paraId="13382339" w14:textId="77777777" w:rsidR="0034618A" w:rsidRPr="00B85D69" w:rsidRDefault="0034618A" w:rsidP="00854F20">
      <w:pPr>
        <w:rPr>
          <w:lang w:val="en-US"/>
        </w:rPr>
      </w:pPr>
      <w:bookmarkStart w:id="15" w:name="_Hlk531866765"/>
      <w:r w:rsidRPr="00B85D69">
        <w:rPr>
          <w:lang w:val="en-US"/>
        </w:rPr>
        <w:t>V</w:t>
      </w:r>
      <w:r>
        <w:rPr>
          <w:lang w:val="en-US"/>
        </w:rPr>
        <w:t>6.17</w:t>
      </w:r>
      <w:r w:rsidRPr="00B85D69">
        <w:rPr>
          <w:lang w:val="en-US"/>
        </w:rPr>
        <w:tab/>
        <w:t xml:space="preserve">The following interpretations are to be used in conjunction with </w:t>
      </w:r>
      <w:r w:rsidRPr="00A82AB4">
        <w:rPr>
          <w:b/>
          <w:i/>
          <w:lang w:val="en-US"/>
        </w:rPr>
        <w:t>electronic player information</w:t>
      </w:r>
      <w:r w:rsidRPr="00B85D69">
        <w:rPr>
          <w:lang w:val="en-US"/>
        </w:rPr>
        <w:t xml:space="preserve"> requirements:</w:t>
      </w:r>
    </w:p>
    <w:bookmarkEnd w:id="15"/>
    <w:p w14:paraId="6BABF508" w14:textId="77777777" w:rsidR="0034618A" w:rsidRPr="00482D80" w:rsidRDefault="0034618A" w:rsidP="0034618A">
      <w:pPr>
        <w:numPr>
          <w:ilvl w:val="0"/>
          <w:numId w:val="41"/>
        </w:numPr>
        <w:autoSpaceDE w:val="0"/>
        <w:autoSpaceDN w:val="0"/>
        <w:adjustRightInd w:val="0"/>
        <w:spacing w:after="0" w:line="240" w:lineRule="auto"/>
        <w:rPr>
          <w:rFonts w:ascii="Arial" w:hAnsi="Arial" w:cs="Arial"/>
          <w:szCs w:val="22"/>
          <w:lang w:val="en-US"/>
        </w:rPr>
      </w:pPr>
      <w:r w:rsidRPr="00482D80">
        <w:rPr>
          <w:rFonts w:ascii="Arial" w:hAnsi="Arial" w:cs="Arial"/>
          <w:szCs w:val="22"/>
          <w:lang w:val="en-US"/>
        </w:rPr>
        <w:t>if an automatic timeout period is implemented for displaying the electronic player information, the timeout period must not be less than 60 seconds.</w:t>
      </w:r>
    </w:p>
    <w:p w14:paraId="3EE41E01" w14:textId="77777777" w:rsidR="0034618A" w:rsidRDefault="0034618A" w:rsidP="0034618A">
      <w:pPr>
        <w:autoSpaceDE w:val="0"/>
        <w:autoSpaceDN w:val="0"/>
        <w:adjustRightInd w:val="0"/>
        <w:rPr>
          <w:rFonts w:ascii="Arial" w:hAnsi="Arial" w:cs="Arial"/>
          <w:szCs w:val="22"/>
          <w:lang w:val="en-US"/>
        </w:rPr>
      </w:pPr>
    </w:p>
    <w:p w14:paraId="0B3A1D1E" w14:textId="7FC4FAA8" w:rsidR="0034618A" w:rsidRPr="002204C6" w:rsidRDefault="005E5502" w:rsidP="002204C6">
      <w:pPr>
        <w:autoSpaceDE w:val="0"/>
        <w:autoSpaceDN w:val="0"/>
        <w:adjustRightInd w:val="0"/>
        <w:rPr>
          <w:rFonts w:ascii="Arial" w:hAnsi="Arial" w:cs="Arial"/>
          <w:szCs w:val="22"/>
          <w:lang w:val="en-US"/>
        </w:rPr>
      </w:pPr>
      <w:r w:rsidRPr="005E5CAD">
        <w:rPr>
          <w:noProof/>
          <w:snapToGrid w:val="0"/>
          <w:lang w:eastAsia="en-AU"/>
        </w:rPr>
        <w:lastRenderedPageBreak/>
        <w:drawing>
          <wp:anchor distT="0" distB="0" distL="114300" distR="114300" simplePos="0" relativeHeight="251662336" behindDoc="0" locked="0" layoutInCell="1" allowOverlap="1" wp14:anchorId="69C027DA" wp14:editId="58821674">
            <wp:simplePos x="0" y="0"/>
            <wp:positionH relativeFrom="column">
              <wp:posOffset>226695</wp:posOffset>
            </wp:positionH>
            <wp:positionV relativeFrom="paragraph">
              <wp:posOffset>521970</wp:posOffset>
            </wp:positionV>
            <wp:extent cx="5410200" cy="2370687"/>
            <wp:effectExtent l="0" t="0" r="0" b="0"/>
            <wp:wrapTopAndBottom/>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2370687"/>
                    </a:xfrm>
                    <a:prstGeom prst="rect">
                      <a:avLst/>
                    </a:prstGeom>
                    <a:noFill/>
                    <a:ln>
                      <a:noFill/>
                    </a:ln>
                  </pic:spPr>
                </pic:pic>
              </a:graphicData>
            </a:graphic>
          </wp:anchor>
        </w:drawing>
      </w:r>
      <w:r w:rsidR="0034618A">
        <w:rPr>
          <w:rFonts w:ascii="Arial" w:hAnsi="Arial" w:cs="Arial"/>
          <w:szCs w:val="22"/>
          <w:lang w:val="en-US"/>
        </w:rPr>
        <w:t>See below f</w:t>
      </w:r>
      <w:r w:rsidR="0034618A" w:rsidRPr="00482D80">
        <w:rPr>
          <w:rFonts w:ascii="Arial" w:hAnsi="Arial" w:cs="Arial"/>
          <w:szCs w:val="22"/>
          <w:lang w:val="en-US"/>
        </w:rPr>
        <w:t xml:space="preserve">or </w:t>
      </w:r>
      <w:r w:rsidR="0034618A">
        <w:rPr>
          <w:rFonts w:ascii="Arial" w:hAnsi="Arial" w:cs="Arial"/>
          <w:szCs w:val="22"/>
          <w:lang w:val="en-US"/>
        </w:rPr>
        <w:t xml:space="preserve">an </w:t>
      </w:r>
      <w:r w:rsidR="0034618A" w:rsidRPr="00482D80">
        <w:rPr>
          <w:rFonts w:ascii="Arial" w:hAnsi="Arial" w:cs="Arial"/>
          <w:szCs w:val="22"/>
          <w:lang w:val="en-US"/>
        </w:rPr>
        <w:t xml:space="preserve">example of </w:t>
      </w:r>
      <w:r w:rsidR="0034618A">
        <w:rPr>
          <w:rFonts w:ascii="Arial" w:hAnsi="Arial" w:cs="Arial"/>
          <w:szCs w:val="22"/>
          <w:lang w:val="en-US"/>
        </w:rPr>
        <w:t>acceptable</w:t>
      </w:r>
      <w:r w:rsidR="0034618A" w:rsidRPr="00482D80">
        <w:rPr>
          <w:rFonts w:ascii="Arial" w:hAnsi="Arial" w:cs="Arial"/>
          <w:szCs w:val="22"/>
          <w:lang w:val="en-US"/>
        </w:rPr>
        <w:t xml:space="preserve"> content and format </w:t>
      </w:r>
      <w:r w:rsidR="0034618A">
        <w:rPr>
          <w:rFonts w:ascii="Arial" w:hAnsi="Arial" w:cs="Arial"/>
          <w:szCs w:val="22"/>
          <w:lang w:val="en-US"/>
        </w:rPr>
        <w:t>for</w:t>
      </w:r>
      <w:r w:rsidR="0034618A" w:rsidRPr="00482D80">
        <w:rPr>
          <w:rFonts w:ascii="Arial" w:hAnsi="Arial" w:cs="Arial"/>
          <w:szCs w:val="22"/>
          <w:lang w:val="en-US"/>
        </w:rPr>
        <w:t xml:space="preserve"> the </w:t>
      </w:r>
      <w:r w:rsidR="0034618A">
        <w:rPr>
          <w:rFonts w:ascii="Arial" w:hAnsi="Arial" w:cs="Arial"/>
          <w:szCs w:val="22"/>
          <w:lang w:val="en-US"/>
        </w:rPr>
        <w:t>electronic player information</w:t>
      </w:r>
      <w:r w:rsidR="0034618A" w:rsidRPr="00482D80">
        <w:rPr>
          <w:rFonts w:ascii="Arial" w:hAnsi="Arial" w:cs="Arial"/>
          <w:szCs w:val="22"/>
          <w:lang w:val="en-US"/>
        </w:rPr>
        <w:t xml:space="preserve"> </w:t>
      </w:r>
      <w:r w:rsidR="0034618A">
        <w:rPr>
          <w:rFonts w:ascii="Arial" w:hAnsi="Arial" w:cs="Arial"/>
          <w:szCs w:val="22"/>
          <w:lang w:val="en-US"/>
        </w:rPr>
        <w:t>screen</w:t>
      </w:r>
      <w:r w:rsidR="0034618A" w:rsidRPr="00482D80">
        <w:rPr>
          <w:rFonts w:ascii="Arial" w:hAnsi="Arial" w:cs="Arial"/>
          <w:szCs w:val="22"/>
          <w:lang w:val="en-US"/>
        </w:rPr>
        <w:t>.</w:t>
      </w:r>
    </w:p>
    <w:p w14:paraId="4F7BB455" w14:textId="4B9CF169" w:rsidR="0034618A" w:rsidRPr="009A1A5B" w:rsidRDefault="0034618A" w:rsidP="0034618A">
      <w:pPr>
        <w:pStyle w:val="BodyText"/>
        <w:ind w:left="284"/>
      </w:pPr>
    </w:p>
    <w:p w14:paraId="4615A987" w14:textId="67CDDF1A" w:rsidR="0034618A" w:rsidRPr="00F146CA" w:rsidRDefault="0034618A" w:rsidP="002204C6">
      <w:pPr>
        <w:pStyle w:val="Heading3"/>
      </w:pPr>
      <w:r w:rsidRPr="00F146CA">
        <w:lastRenderedPageBreak/>
        <w:t>D</w:t>
      </w:r>
      <w:r w:rsidR="007C56D7">
        <w:t>iagram</w:t>
      </w:r>
      <w:r w:rsidRPr="00F146CA">
        <w:t xml:space="preserve"> 1</w:t>
      </w:r>
      <w:r w:rsidR="007C56D7">
        <w:br/>
        <w:t>Gaming machine with top box</w:t>
      </w:r>
    </w:p>
    <w:p w14:paraId="76365BAC" w14:textId="59F1141B" w:rsidR="0034618A" w:rsidRDefault="0034618A" w:rsidP="00766334">
      <w:pPr>
        <w:rPr>
          <w:rFonts w:ascii="Arial" w:hAnsi="Arial" w:cs="Arial"/>
        </w:rPr>
      </w:pPr>
      <w:r w:rsidRPr="00D55600">
        <w:rPr>
          <w:noProof/>
          <w:lang w:eastAsia="en-AU"/>
        </w:rPr>
        <w:drawing>
          <wp:inline distT="0" distB="0" distL="0" distR="0" wp14:anchorId="3F433E4A" wp14:editId="11B967AA">
            <wp:extent cx="4262496" cy="7010400"/>
            <wp:effectExtent l="0" t="0" r="5080" b="0"/>
            <wp:docPr id="16" name="Picture 16" descr="6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2001"/>
                    <pic:cNvPicPr>
                      <a:picLocks noChangeAspect="1" noChangeArrowheads="1"/>
                    </pic:cNvPicPr>
                  </pic:nvPicPr>
                  <pic:blipFill>
                    <a:blip r:embed="rId21" cstate="print"/>
                    <a:srcRect/>
                    <a:stretch>
                      <a:fillRect/>
                    </a:stretch>
                  </pic:blipFill>
                  <pic:spPr bwMode="auto">
                    <a:xfrm>
                      <a:off x="0" y="0"/>
                      <a:ext cx="4264617" cy="7013889"/>
                    </a:xfrm>
                    <a:prstGeom prst="rect">
                      <a:avLst/>
                    </a:prstGeom>
                    <a:noFill/>
                    <a:ln w="9525">
                      <a:noFill/>
                      <a:miter lim="800000"/>
                      <a:headEnd/>
                      <a:tailEnd/>
                    </a:ln>
                  </pic:spPr>
                </pic:pic>
              </a:graphicData>
            </a:graphic>
          </wp:inline>
        </w:drawing>
      </w:r>
    </w:p>
    <w:p w14:paraId="1E67C61B" w14:textId="77777777" w:rsidR="0034618A" w:rsidRDefault="0034618A" w:rsidP="00766334">
      <w:pPr>
        <w:rPr>
          <w:rFonts w:ascii="Arial" w:hAnsi="Arial" w:cs="Arial"/>
        </w:rPr>
      </w:pPr>
      <w:r>
        <w:rPr>
          <w:rFonts w:ascii="Arial" w:hAnsi="Arial" w:cs="Arial"/>
        </w:rPr>
        <w:br w:type="page"/>
      </w:r>
    </w:p>
    <w:p w14:paraId="233B1AAD" w14:textId="53839E3C" w:rsidR="0034618A" w:rsidRPr="00F146CA" w:rsidRDefault="0034618A" w:rsidP="002204C6">
      <w:pPr>
        <w:pStyle w:val="Heading3"/>
      </w:pPr>
      <w:r w:rsidRPr="00F146CA">
        <w:lastRenderedPageBreak/>
        <w:t>D</w:t>
      </w:r>
      <w:r w:rsidR="007C56D7">
        <w:t>iagram</w:t>
      </w:r>
      <w:r w:rsidRPr="00F146CA">
        <w:t xml:space="preserve"> 2</w:t>
      </w:r>
      <w:r w:rsidR="007C56D7">
        <w:br/>
        <w:t>Gaming machine without top box</w:t>
      </w:r>
    </w:p>
    <w:p w14:paraId="2D7B27C1" w14:textId="77777777" w:rsidR="0034618A" w:rsidRPr="00D55600" w:rsidRDefault="0034618A" w:rsidP="00766334">
      <w:r>
        <w:rPr>
          <w:noProof/>
          <w:lang w:eastAsia="en-AU"/>
        </w:rPr>
        <mc:AlternateContent>
          <mc:Choice Requires="wps">
            <w:drawing>
              <wp:anchor distT="0" distB="0" distL="114300" distR="114300" simplePos="0" relativeHeight="251659264" behindDoc="0" locked="0" layoutInCell="1" allowOverlap="1" wp14:anchorId="10CAA2E0" wp14:editId="48D7351B">
                <wp:simplePos x="0" y="0"/>
                <wp:positionH relativeFrom="column">
                  <wp:posOffset>5375911</wp:posOffset>
                </wp:positionH>
                <wp:positionV relativeFrom="paragraph">
                  <wp:posOffset>697229</wp:posOffset>
                </wp:positionV>
                <wp:extent cx="441960" cy="45719"/>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196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A6CF" w14:textId="77777777" w:rsidR="00854F20" w:rsidRPr="006255CE" w:rsidRDefault="00854F20" w:rsidP="0034618A">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0CAA2E0" id="_x0000_t202" coordsize="21600,21600" o:spt="202" path="m,l,21600r21600,l21600,xe">
                <v:stroke joinstyle="miter"/>
                <v:path gradientshapeok="t" o:connecttype="rect"/>
              </v:shapetype>
              <v:shape id="Text Box 20" o:spid="_x0000_s1026" type="#_x0000_t202" style="position:absolute;margin-left:423.3pt;margin-top:54.9pt;width:34.8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" stroked="f">
                <v:textbox>
                  <w:txbxContent>
                    <w:p w14:paraId="6DD9A6CF" w14:textId="77777777" w:rsidR="00854F20" w:rsidRPr="006255CE" w:rsidRDefault="00854F20" w:rsidP="0034618A">
                      <w:pPr>
                        <w:rPr>
                          <w:rFonts w:ascii="Arial" w:hAnsi="Arial" w:cs="Arial"/>
                          <w:b/>
                          <w:sz w:val="18"/>
                          <w:szCs w:val="18"/>
                        </w:rPr>
                      </w:pP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31D1C76" wp14:editId="0ED99191">
                <wp:simplePos x="0" y="0"/>
                <wp:positionH relativeFrom="column">
                  <wp:posOffset>5307331</wp:posOffset>
                </wp:positionH>
                <wp:positionV relativeFrom="paragraph">
                  <wp:posOffset>491490</wp:posOffset>
                </wp:positionV>
                <wp:extent cx="167640" cy="15240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14457" w14:textId="77777777" w:rsidR="00854F20" w:rsidRPr="006255CE" w:rsidRDefault="00854F20" w:rsidP="0034618A">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1D1C76" id="Text Box 18" o:spid="_x0000_s1027" type="#_x0000_t202" style="position:absolute;margin-left:417.9pt;margin-top:38.7pt;width:13.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" stroked="f">
                <v:textbox>
                  <w:txbxContent>
                    <w:p w14:paraId="51E14457" w14:textId="77777777" w:rsidR="00854F20" w:rsidRPr="006255CE" w:rsidRDefault="00854F20" w:rsidP="0034618A">
                      <w:pPr>
                        <w:rPr>
                          <w:rFonts w:ascii="Arial" w:hAnsi="Arial" w:cs="Arial"/>
                          <w:b/>
                          <w:sz w:val="18"/>
                          <w:szCs w:val="18"/>
                        </w:rPr>
                      </w:pP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4BB23215" wp14:editId="0E382846">
                <wp:simplePos x="0" y="0"/>
                <wp:positionH relativeFrom="column">
                  <wp:posOffset>5566411</wp:posOffset>
                </wp:positionH>
                <wp:positionV relativeFrom="paragraph">
                  <wp:posOffset>323850</wp:posOffset>
                </wp:positionV>
                <wp:extent cx="213360" cy="838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3360" cy="8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7AF77" w14:textId="77777777" w:rsidR="00854F20" w:rsidRPr="006255CE" w:rsidRDefault="00854F20" w:rsidP="0034618A">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B23215" id="Text Box 19" o:spid="_x0000_s1028" type="#_x0000_t202" style="position:absolute;margin-left:438.3pt;margin-top:25.5pt;width:16.8pt;height:6.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" stroked="f">
                <v:textbox>
                  <w:txbxContent>
                    <w:p w14:paraId="21E7AF77" w14:textId="77777777" w:rsidR="00854F20" w:rsidRPr="006255CE" w:rsidRDefault="00854F20" w:rsidP="0034618A">
                      <w:pPr>
                        <w:rPr>
                          <w:rFonts w:ascii="Arial" w:hAnsi="Arial" w:cs="Arial"/>
                          <w:b/>
                          <w:sz w:val="18"/>
                          <w:szCs w:val="18"/>
                        </w:rPr>
                      </w:pPr>
                    </w:p>
                  </w:txbxContent>
                </v:textbox>
              </v:shape>
            </w:pict>
          </mc:Fallback>
        </mc:AlternateContent>
      </w:r>
      <w:r w:rsidRPr="00D55600">
        <w:rPr>
          <w:noProof/>
          <w:lang w:eastAsia="en-AU"/>
        </w:rPr>
        <w:drawing>
          <wp:inline distT="0" distB="0" distL="0" distR="0" wp14:anchorId="1B6DB456" wp14:editId="5AAC15D7">
            <wp:extent cx="4328036" cy="5059680"/>
            <wp:effectExtent l="0" t="0" r="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2" cstate="print"/>
                    <a:srcRect/>
                    <a:stretch>
                      <a:fillRect/>
                    </a:stretch>
                  </pic:blipFill>
                  <pic:spPr bwMode="auto">
                    <a:xfrm>
                      <a:off x="0" y="0"/>
                      <a:ext cx="4337894" cy="5071205"/>
                    </a:xfrm>
                    <a:prstGeom prst="rect">
                      <a:avLst/>
                    </a:prstGeom>
                    <a:noFill/>
                    <a:ln w="9525">
                      <a:noFill/>
                      <a:miter lim="800000"/>
                      <a:headEnd/>
                      <a:tailEnd/>
                    </a:ln>
                  </pic:spPr>
                </pic:pic>
              </a:graphicData>
            </a:graphic>
          </wp:inline>
        </w:drawing>
      </w:r>
    </w:p>
    <w:p w14:paraId="0876FF2D" w14:textId="77777777" w:rsidR="0034618A" w:rsidRDefault="0034618A" w:rsidP="00766334">
      <w:pPr>
        <w:rPr>
          <w:rFonts w:ascii="Arial" w:hAnsi="Arial" w:cs="Arial"/>
          <w:b/>
        </w:rPr>
      </w:pPr>
    </w:p>
    <w:p w14:paraId="582807A3" w14:textId="77777777" w:rsidR="0034618A" w:rsidRDefault="0034618A" w:rsidP="00766334">
      <w:pPr>
        <w:rPr>
          <w:rFonts w:ascii="Arial" w:hAnsi="Arial" w:cs="Arial"/>
          <w:b/>
          <w:sz w:val="28"/>
          <w:szCs w:val="28"/>
        </w:rPr>
      </w:pPr>
      <w:r>
        <w:rPr>
          <w:rFonts w:ascii="Arial" w:hAnsi="Arial" w:cs="Arial"/>
          <w:sz w:val="28"/>
          <w:szCs w:val="28"/>
        </w:rPr>
        <w:br w:type="page"/>
      </w:r>
    </w:p>
    <w:p w14:paraId="12B9CB17" w14:textId="77777777" w:rsidR="0034618A" w:rsidRPr="00044BF1" w:rsidRDefault="0034618A" w:rsidP="00766334">
      <w:pPr>
        <w:pStyle w:val="Heading1"/>
      </w:pPr>
      <w:bookmarkStart w:id="16" w:name="_Toc317674837"/>
      <w:bookmarkStart w:id="17" w:name="_Toc56425240"/>
      <w:r w:rsidRPr="00044BF1">
        <w:lastRenderedPageBreak/>
        <w:t xml:space="preserve">Document </w:t>
      </w:r>
      <w:r w:rsidRPr="00766334">
        <w:t>information</w:t>
      </w:r>
      <w:bookmarkEnd w:id="16"/>
      <w:bookmarkEnd w:id="17"/>
    </w:p>
    <w:p w14:paraId="7CB0E0C8" w14:textId="77777777" w:rsidR="0034618A" w:rsidRPr="00F063C2" w:rsidRDefault="0034618A" w:rsidP="002204C6">
      <w:pPr>
        <w:pStyle w:val="Heading3"/>
      </w:pPr>
      <w:r w:rsidRPr="00F063C2">
        <w:t>Document details</w:t>
      </w:r>
    </w:p>
    <w:tbl>
      <w:tblPr>
        <w:tblStyle w:val="ListTable3"/>
        <w:tblW w:w="4553" w:type="pct"/>
        <w:tblLayout w:type="fixed"/>
        <w:tblLook w:val="0020" w:firstRow="1" w:lastRow="0" w:firstColumn="0" w:lastColumn="0" w:noHBand="0" w:noVBand="0"/>
      </w:tblPr>
      <w:tblGrid>
        <w:gridCol w:w="2205"/>
        <w:gridCol w:w="6557"/>
      </w:tblGrid>
      <w:tr w:rsidR="0034618A" w:rsidRPr="00357D85" w14:paraId="5DDE30CF"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pct"/>
          </w:tcPr>
          <w:p w14:paraId="28AC5809" w14:textId="77777777" w:rsidR="0034618A" w:rsidRPr="00357D85" w:rsidRDefault="0034618A" w:rsidP="00854F20">
            <w:pPr>
              <w:pStyle w:val="TableHeader0"/>
            </w:pPr>
            <w:r w:rsidRPr="00357D85">
              <w:t>Criteria</w:t>
            </w:r>
          </w:p>
        </w:tc>
        <w:tc>
          <w:tcPr>
            <w:tcW w:w="3742" w:type="pct"/>
          </w:tcPr>
          <w:p w14:paraId="76BA2303"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357D85">
              <w:t>Details</w:t>
            </w:r>
          </w:p>
        </w:tc>
      </w:tr>
      <w:tr w:rsidR="0034618A" w:rsidRPr="00357D85" w14:paraId="17DBBC7D"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pct"/>
          </w:tcPr>
          <w:p w14:paraId="300365D1" w14:textId="77777777" w:rsidR="0034618A" w:rsidRPr="00357D85" w:rsidRDefault="0034618A" w:rsidP="00854F20">
            <w:pPr>
              <w:pStyle w:val="TableText"/>
            </w:pPr>
            <w:r w:rsidRPr="00357D85">
              <w:t>TRIM ID:</w:t>
            </w:r>
          </w:p>
        </w:tc>
        <w:tc>
          <w:tcPr>
            <w:tcW w:w="3742" w:type="pct"/>
          </w:tcPr>
          <w:p w14:paraId="0D65DCFE" w14:textId="77777777" w:rsidR="0034618A" w:rsidRPr="00357D85" w:rsidRDefault="00B32C33" w:rsidP="00854F20">
            <w:pPr>
              <w:pStyle w:val="TableText"/>
              <w:cnfStyle w:val="000000100000" w:firstRow="0" w:lastRow="0" w:firstColumn="0" w:lastColumn="0" w:oddVBand="0" w:evenVBand="0" w:oddHBand="1" w:evenHBand="0" w:firstRowFirstColumn="0" w:firstRowLastColumn="0" w:lastRowFirstColumn="0" w:lastRowLastColumn="0"/>
            </w:pPr>
            <w:fldSimple w:instr=" docproperty TrimId ">
              <w:r w:rsidR="0034618A">
                <w:t>CD/19/18117</w:t>
              </w:r>
            </w:fldSimple>
          </w:p>
        </w:tc>
      </w:tr>
      <w:tr w:rsidR="0034618A" w:rsidRPr="00357D85" w14:paraId="7AB2ECD1"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1258" w:type="pct"/>
          </w:tcPr>
          <w:p w14:paraId="63DAD46F" w14:textId="77777777" w:rsidR="0034618A" w:rsidRPr="00357D85" w:rsidRDefault="0034618A" w:rsidP="00854F20">
            <w:pPr>
              <w:pStyle w:val="TableText"/>
            </w:pPr>
            <w:r w:rsidRPr="00357D85">
              <w:t>Document title:</w:t>
            </w:r>
          </w:p>
        </w:tc>
        <w:tc>
          <w:tcPr>
            <w:tcW w:w="3742" w:type="pct"/>
          </w:tcPr>
          <w:p w14:paraId="5D149C09" w14:textId="05E699E1" w:rsidR="0034618A" w:rsidRPr="00357D85" w:rsidRDefault="00B32C33" w:rsidP="00854F20">
            <w:pPr>
              <w:pStyle w:val="TableText"/>
              <w:cnfStyle w:val="000000000000" w:firstRow="0" w:lastRow="0" w:firstColumn="0" w:lastColumn="0" w:oddVBand="0" w:evenVBand="0" w:oddHBand="0" w:evenHBand="0" w:firstRowFirstColumn="0" w:firstRowLastColumn="0" w:lastRowFirstColumn="0" w:lastRowLastColumn="0"/>
            </w:pPr>
            <w:fldSimple w:instr=" docproperty TitleLine ">
              <w:r w:rsidR="0034618A">
                <w:t>Victorian Appendix to the Australian/New Zealand Gaming Machine National Standard</w:t>
              </w:r>
            </w:fldSimple>
            <w:r w:rsidR="0034618A">
              <w:t xml:space="preserve"> – </w:t>
            </w:r>
            <w:r w:rsidR="005E5502">
              <w:t>August 2020</w:t>
            </w:r>
          </w:p>
        </w:tc>
      </w:tr>
      <w:tr w:rsidR="0034618A" w:rsidRPr="00357D85" w14:paraId="099DAC21"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pct"/>
          </w:tcPr>
          <w:p w14:paraId="3D340F2D" w14:textId="77777777" w:rsidR="0034618A" w:rsidRPr="00357D85" w:rsidRDefault="0034618A" w:rsidP="00854F20">
            <w:pPr>
              <w:pStyle w:val="TableText"/>
            </w:pPr>
            <w:r w:rsidRPr="00357D85">
              <w:t>Document owner:</w:t>
            </w:r>
          </w:p>
        </w:tc>
        <w:tc>
          <w:tcPr>
            <w:tcW w:w="3742" w:type="pct"/>
          </w:tcPr>
          <w:p w14:paraId="113717ED"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Manager, Licence Management &amp; Audit</w:t>
            </w:r>
          </w:p>
        </w:tc>
      </w:tr>
    </w:tbl>
    <w:p w14:paraId="00E116FA" w14:textId="77777777" w:rsidR="0034618A" w:rsidRPr="00044BF1" w:rsidRDefault="0034618A" w:rsidP="002204C6">
      <w:pPr>
        <w:pStyle w:val="Heading3"/>
      </w:pPr>
      <w:r w:rsidRPr="00044BF1">
        <w:t>Version control</w:t>
      </w:r>
    </w:p>
    <w:tbl>
      <w:tblPr>
        <w:tblStyle w:val="ListTable3"/>
        <w:tblW w:w="4552" w:type="pct"/>
        <w:tblLayout w:type="fixed"/>
        <w:tblLook w:val="0020" w:firstRow="1" w:lastRow="0" w:firstColumn="0" w:lastColumn="0" w:noHBand="0" w:noVBand="0"/>
      </w:tblPr>
      <w:tblGrid>
        <w:gridCol w:w="945"/>
        <w:gridCol w:w="1260"/>
        <w:gridCol w:w="3641"/>
        <w:gridCol w:w="2914"/>
      </w:tblGrid>
      <w:tr w:rsidR="0034618A" w:rsidRPr="00357D85" w14:paraId="4866068B"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563B3602" w14:textId="77777777" w:rsidR="0034618A" w:rsidRPr="00357D85" w:rsidRDefault="0034618A" w:rsidP="00854F20">
            <w:pPr>
              <w:pStyle w:val="TableHeader0"/>
            </w:pPr>
            <w:r w:rsidRPr="00357D85">
              <w:t>Version</w:t>
            </w:r>
          </w:p>
        </w:tc>
        <w:tc>
          <w:tcPr>
            <w:tcW w:w="719" w:type="pct"/>
          </w:tcPr>
          <w:p w14:paraId="3893C59E"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357D85">
              <w:t>Date</w:t>
            </w:r>
          </w:p>
        </w:tc>
        <w:tc>
          <w:tcPr>
            <w:cnfStyle w:val="000010000000" w:firstRow="0" w:lastRow="0" w:firstColumn="0" w:lastColumn="0" w:oddVBand="1" w:evenVBand="0" w:oddHBand="0" w:evenHBand="0" w:firstRowFirstColumn="0" w:firstRowLastColumn="0" w:lastRowFirstColumn="0" w:lastRowLastColumn="0"/>
            <w:tcW w:w="2078" w:type="pct"/>
          </w:tcPr>
          <w:p w14:paraId="18110A01" w14:textId="77777777" w:rsidR="0034618A" w:rsidRPr="00357D85" w:rsidRDefault="0034618A" w:rsidP="00854F20">
            <w:pPr>
              <w:pStyle w:val="TableHeader0"/>
            </w:pPr>
            <w:r w:rsidRPr="00357D85">
              <w:t>Description</w:t>
            </w:r>
          </w:p>
        </w:tc>
        <w:tc>
          <w:tcPr>
            <w:tcW w:w="1664" w:type="pct"/>
          </w:tcPr>
          <w:p w14:paraId="60B98667"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357D85">
              <w:t>Author</w:t>
            </w:r>
          </w:p>
        </w:tc>
      </w:tr>
      <w:tr w:rsidR="0034618A" w:rsidRPr="00357D85" w14:paraId="47AFA618"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0D15D645" w14:textId="77777777" w:rsidR="0034618A" w:rsidRPr="00357D85" w:rsidRDefault="0034618A" w:rsidP="00854F20">
            <w:pPr>
              <w:pStyle w:val="TableText"/>
            </w:pPr>
            <w:r w:rsidRPr="00357D85">
              <w:t>V</w:t>
            </w:r>
            <w:r>
              <w:t>1.0</w:t>
            </w:r>
          </w:p>
        </w:tc>
        <w:tc>
          <w:tcPr>
            <w:tcW w:w="719" w:type="pct"/>
          </w:tcPr>
          <w:p w14:paraId="19C9CB64"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06/03/17</w:t>
            </w:r>
          </w:p>
        </w:tc>
        <w:tc>
          <w:tcPr>
            <w:cnfStyle w:val="000010000000" w:firstRow="0" w:lastRow="0" w:firstColumn="0" w:lastColumn="0" w:oddVBand="1" w:evenVBand="0" w:oddHBand="0" w:evenHBand="0" w:firstRowFirstColumn="0" w:firstRowLastColumn="0" w:lastRowFirstColumn="0" w:lastRowLastColumn="0"/>
            <w:tcW w:w="2078" w:type="pct"/>
          </w:tcPr>
          <w:p w14:paraId="6D8C8940" w14:textId="77777777" w:rsidR="0034618A" w:rsidRPr="00357D85" w:rsidRDefault="0034618A" w:rsidP="00854F20">
            <w:pPr>
              <w:pStyle w:val="TableText"/>
            </w:pPr>
            <w:r>
              <w:t>Publicly released version</w:t>
            </w:r>
          </w:p>
        </w:tc>
        <w:tc>
          <w:tcPr>
            <w:tcW w:w="1664" w:type="pct"/>
          </w:tcPr>
          <w:p w14:paraId="437A58DB"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Steve Thurston</w:t>
            </w:r>
          </w:p>
        </w:tc>
      </w:tr>
      <w:tr w:rsidR="0034618A" w:rsidRPr="00357D85" w14:paraId="1DE8A177"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540" w:type="pct"/>
          </w:tcPr>
          <w:p w14:paraId="3883CD12" w14:textId="77777777" w:rsidR="0034618A" w:rsidRPr="00357D85" w:rsidRDefault="0034618A" w:rsidP="00854F20">
            <w:pPr>
              <w:pStyle w:val="TableText"/>
            </w:pPr>
            <w:r>
              <w:t>V1.1</w:t>
            </w:r>
          </w:p>
        </w:tc>
        <w:tc>
          <w:tcPr>
            <w:tcW w:w="719" w:type="pct"/>
          </w:tcPr>
          <w:p w14:paraId="335F0A06"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30/03/17</w:t>
            </w:r>
          </w:p>
        </w:tc>
        <w:tc>
          <w:tcPr>
            <w:cnfStyle w:val="000010000000" w:firstRow="0" w:lastRow="0" w:firstColumn="0" w:lastColumn="0" w:oddVBand="1" w:evenVBand="0" w:oddHBand="0" w:evenHBand="0" w:firstRowFirstColumn="0" w:firstRowLastColumn="0" w:lastRowFirstColumn="0" w:lastRowLastColumn="0"/>
            <w:tcW w:w="2078" w:type="pct"/>
          </w:tcPr>
          <w:p w14:paraId="601063E4" w14:textId="77777777" w:rsidR="0034618A" w:rsidRDefault="0034618A" w:rsidP="00854F20">
            <w:pPr>
              <w:pStyle w:val="TableText"/>
            </w:pPr>
            <w:r>
              <w:t>Typographical corrections made:</w:t>
            </w:r>
          </w:p>
          <w:p w14:paraId="6FD50841" w14:textId="77777777" w:rsidR="0034618A" w:rsidRDefault="0034618A" w:rsidP="0034618A">
            <w:pPr>
              <w:pStyle w:val="TableText"/>
              <w:numPr>
                <w:ilvl w:val="0"/>
                <w:numId w:val="45"/>
              </w:numPr>
            </w:pPr>
            <w:r>
              <w:t>V1.3 “gaming machines” replaced with “gaming machine”</w:t>
            </w:r>
          </w:p>
          <w:p w14:paraId="5AAA8B11" w14:textId="77777777" w:rsidR="0034618A" w:rsidRDefault="0034618A" w:rsidP="0034618A">
            <w:pPr>
              <w:pStyle w:val="TableText"/>
              <w:numPr>
                <w:ilvl w:val="0"/>
                <w:numId w:val="45"/>
              </w:numPr>
            </w:pPr>
            <w:r>
              <w:t>V1.3 “Gambling Regulation Act 2003” spelt out and abbreviated.</w:t>
            </w:r>
          </w:p>
          <w:p w14:paraId="5BA5E2EA" w14:textId="77777777" w:rsidR="0034618A" w:rsidRDefault="0034618A" w:rsidP="0034618A">
            <w:pPr>
              <w:pStyle w:val="TableText"/>
              <w:numPr>
                <w:ilvl w:val="0"/>
                <w:numId w:val="45"/>
              </w:numPr>
            </w:pPr>
            <w:r>
              <w:t>V1.6 “Gambling Regulation Act 2003” replaced with “the Act”</w:t>
            </w:r>
          </w:p>
          <w:p w14:paraId="05FF1FC0" w14:textId="77777777" w:rsidR="0034618A" w:rsidRDefault="0034618A" w:rsidP="0034618A">
            <w:pPr>
              <w:pStyle w:val="TableText"/>
              <w:numPr>
                <w:ilvl w:val="0"/>
                <w:numId w:val="45"/>
              </w:numPr>
            </w:pPr>
            <w:r>
              <w:t>V3.3 deleted (identical to V3.4 except V3.4 has “…</w:t>
            </w:r>
            <w:r w:rsidRPr="00696030">
              <w:rPr>
                <w:snapToGrid w:val="0"/>
              </w:rPr>
              <w:t>provided it is logically separated</w:t>
            </w:r>
            <w:r>
              <w:rPr>
                <w:snapToGrid w:val="0"/>
              </w:rPr>
              <w:t>”</w:t>
            </w:r>
            <w:r>
              <w:t>)</w:t>
            </w:r>
          </w:p>
          <w:p w14:paraId="2771BC14" w14:textId="77777777" w:rsidR="0034618A" w:rsidRDefault="0034618A" w:rsidP="0034618A">
            <w:pPr>
              <w:pStyle w:val="TableText"/>
              <w:numPr>
                <w:ilvl w:val="0"/>
                <w:numId w:val="45"/>
              </w:numPr>
            </w:pPr>
            <w:r>
              <w:t>V3.11(</w:t>
            </w:r>
            <w:proofErr w:type="spellStart"/>
            <w:r>
              <w:t>i</w:t>
            </w:r>
            <w:proofErr w:type="spellEnd"/>
            <w:r>
              <w:t>) and (j) deleted (identical to V3.11(f) and (g) respectively.</w:t>
            </w:r>
          </w:p>
          <w:p w14:paraId="51490F00" w14:textId="77777777" w:rsidR="0034618A" w:rsidRDefault="0034618A" w:rsidP="0034618A">
            <w:pPr>
              <w:pStyle w:val="TableText"/>
              <w:numPr>
                <w:ilvl w:val="0"/>
                <w:numId w:val="45"/>
              </w:numPr>
            </w:pPr>
            <w:r>
              <w:t>V5.10 “an indication” instead of “indication”.</w:t>
            </w:r>
          </w:p>
          <w:p w14:paraId="7AD154A1" w14:textId="77777777" w:rsidR="0034618A" w:rsidRDefault="0034618A" w:rsidP="0034618A">
            <w:pPr>
              <w:pStyle w:val="TableText"/>
              <w:numPr>
                <w:ilvl w:val="0"/>
                <w:numId w:val="45"/>
              </w:numPr>
            </w:pPr>
            <w:r>
              <w:t>V6.5 removed unnecessary italics.</w:t>
            </w:r>
          </w:p>
        </w:tc>
        <w:tc>
          <w:tcPr>
            <w:tcW w:w="1664" w:type="pct"/>
          </w:tcPr>
          <w:p w14:paraId="4BA89854"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Steve Thurston</w:t>
            </w:r>
          </w:p>
        </w:tc>
      </w:tr>
      <w:tr w:rsidR="0034618A" w:rsidRPr="00357D85" w14:paraId="483CA432"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008708A2" w14:textId="77777777" w:rsidR="0034618A" w:rsidRDefault="0034618A" w:rsidP="00854F20">
            <w:pPr>
              <w:pStyle w:val="TableText"/>
            </w:pPr>
            <w:r>
              <w:t>V1.2</w:t>
            </w:r>
          </w:p>
        </w:tc>
        <w:tc>
          <w:tcPr>
            <w:tcW w:w="719" w:type="pct"/>
          </w:tcPr>
          <w:p w14:paraId="5762DD62"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22/03/18</w:t>
            </w:r>
          </w:p>
        </w:tc>
        <w:tc>
          <w:tcPr>
            <w:cnfStyle w:val="000010000000" w:firstRow="0" w:lastRow="0" w:firstColumn="0" w:lastColumn="0" w:oddVBand="1" w:evenVBand="0" w:oddHBand="0" w:evenHBand="0" w:firstRowFirstColumn="0" w:firstRowLastColumn="0" w:lastRowFirstColumn="0" w:lastRowLastColumn="0"/>
            <w:tcW w:w="2078" w:type="pct"/>
          </w:tcPr>
          <w:p w14:paraId="06D3CABA" w14:textId="77777777" w:rsidR="0034618A" w:rsidRDefault="0034618A" w:rsidP="00854F20">
            <w:pPr>
              <w:pStyle w:val="TableText"/>
            </w:pPr>
            <w:r>
              <w:t>Introduction of second tranche of changes for Messaging from a Gaming Machine (V6.18) and restrictions on display of past gaming results (V6.19)</w:t>
            </w:r>
          </w:p>
          <w:p w14:paraId="06150383" w14:textId="77777777" w:rsidR="0034618A" w:rsidRDefault="0034618A" w:rsidP="00854F20">
            <w:pPr>
              <w:pStyle w:val="TableText"/>
            </w:pPr>
            <w:r>
              <w:t xml:space="preserve"> (CHANGES NOT APPROVED)</w:t>
            </w:r>
          </w:p>
        </w:tc>
        <w:tc>
          <w:tcPr>
            <w:tcW w:w="1664" w:type="pct"/>
          </w:tcPr>
          <w:p w14:paraId="6F346612"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Jason Cremona</w:t>
            </w:r>
          </w:p>
        </w:tc>
      </w:tr>
      <w:tr w:rsidR="0034618A" w:rsidRPr="00357D85" w14:paraId="675A0849"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540" w:type="pct"/>
          </w:tcPr>
          <w:p w14:paraId="5973DC1E" w14:textId="77777777" w:rsidR="0034618A" w:rsidRDefault="0034618A" w:rsidP="00854F20">
            <w:pPr>
              <w:pStyle w:val="TableText"/>
            </w:pPr>
            <w:r>
              <w:t>V1.3</w:t>
            </w:r>
          </w:p>
        </w:tc>
        <w:tc>
          <w:tcPr>
            <w:tcW w:w="719" w:type="pct"/>
          </w:tcPr>
          <w:p w14:paraId="4CD04F74"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25/10/2019</w:t>
            </w:r>
          </w:p>
        </w:tc>
        <w:tc>
          <w:tcPr>
            <w:cnfStyle w:val="000010000000" w:firstRow="0" w:lastRow="0" w:firstColumn="0" w:lastColumn="0" w:oddVBand="1" w:evenVBand="0" w:oddHBand="0" w:evenHBand="0" w:firstRowFirstColumn="0" w:firstRowLastColumn="0" w:lastRowFirstColumn="0" w:lastRowLastColumn="0"/>
            <w:tcW w:w="2078" w:type="pct"/>
          </w:tcPr>
          <w:p w14:paraId="59624D47" w14:textId="77777777" w:rsidR="0034618A" w:rsidRDefault="0034618A" w:rsidP="00854F20">
            <w:pPr>
              <w:pStyle w:val="TableText"/>
            </w:pPr>
            <w:r>
              <w:t>Changes to return to player references, introduction of corrective statement to PID, and alignment of V5.7 with legislative change to cash out limit</w:t>
            </w:r>
          </w:p>
          <w:p w14:paraId="6E84E5D6" w14:textId="095310FA" w:rsidR="005E5502" w:rsidRDefault="005E5502" w:rsidP="00854F20">
            <w:pPr>
              <w:pStyle w:val="TableText"/>
            </w:pPr>
            <w:r>
              <w:t>(CHANGES NOT APPROVED</w:t>
            </w:r>
            <w:r w:rsidR="00DE6B28">
              <w:t xml:space="preserve"> for changes to return to player references</w:t>
            </w:r>
            <w:r>
              <w:t>)</w:t>
            </w:r>
          </w:p>
        </w:tc>
        <w:tc>
          <w:tcPr>
            <w:tcW w:w="1664" w:type="pct"/>
          </w:tcPr>
          <w:p w14:paraId="7B7234A1"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Jason Cremona</w:t>
            </w:r>
          </w:p>
        </w:tc>
      </w:tr>
      <w:tr w:rsidR="0034618A" w:rsidRPr="00357D85" w14:paraId="5B4A66DA"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03FCC5D8" w14:textId="77777777" w:rsidR="0034618A" w:rsidRDefault="0034618A" w:rsidP="00854F20">
            <w:pPr>
              <w:pStyle w:val="TableText"/>
            </w:pPr>
            <w:r>
              <w:t>V1.4</w:t>
            </w:r>
          </w:p>
        </w:tc>
        <w:tc>
          <w:tcPr>
            <w:tcW w:w="719" w:type="pct"/>
          </w:tcPr>
          <w:p w14:paraId="133EA379"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28/08/2020</w:t>
            </w:r>
          </w:p>
        </w:tc>
        <w:tc>
          <w:tcPr>
            <w:cnfStyle w:val="000010000000" w:firstRow="0" w:lastRow="0" w:firstColumn="0" w:lastColumn="0" w:oddVBand="1" w:evenVBand="0" w:oddHBand="0" w:evenHBand="0" w:firstRowFirstColumn="0" w:firstRowLastColumn="0" w:lastRowFirstColumn="0" w:lastRowLastColumn="0"/>
            <w:tcW w:w="2078" w:type="pct"/>
          </w:tcPr>
          <w:p w14:paraId="65120EAE" w14:textId="77777777" w:rsidR="0034618A" w:rsidRDefault="0034618A" w:rsidP="00854F20">
            <w:pPr>
              <w:pStyle w:val="TableText"/>
            </w:pPr>
            <w:r>
              <w:t>Section V2.1, V2.2, V2.3 in relation to hard meters are removed. As a result, V2.4 &amp; V2.5 changed to V2.1 &amp; V2.2.</w:t>
            </w:r>
          </w:p>
          <w:p w14:paraId="00CA0C1F" w14:textId="77777777" w:rsidR="0034618A" w:rsidRDefault="0034618A" w:rsidP="00854F20">
            <w:pPr>
              <w:pStyle w:val="TableText"/>
            </w:pPr>
            <w:r>
              <w:t>Include changes to V5.7 as approved by the Minister when assessing version 1.3.</w:t>
            </w:r>
          </w:p>
          <w:p w14:paraId="623FABBF" w14:textId="77777777" w:rsidR="0034618A" w:rsidRDefault="0034618A" w:rsidP="00854F20">
            <w:pPr>
              <w:pStyle w:val="TableText"/>
            </w:pPr>
            <w:r>
              <w:t>If approved, V2.0 to be released publicly.</w:t>
            </w:r>
          </w:p>
        </w:tc>
        <w:tc>
          <w:tcPr>
            <w:tcW w:w="1664" w:type="pct"/>
          </w:tcPr>
          <w:p w14:paraId="3FAC97DA"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Jason Cremona</w:t>
            </w:r>
          </w:p>
        </w:tc>
      </w:tr>
    </w:tbl>
    <w:p w14:paraId="50589F2C" w14:textId="77777777" w:rsidR="0034618A" w:rsidRPr="00044BF1" w:rsidRDefault="0034618A" w:rsidP="002204C6">
      <w:pPr>
        <w:pStyle w:val="Heading3"/>
      </w:pPr>
      <w:r w:rsidRPr="00044BF1">
        <w:lastRenderedPageBreak/>
        <w:t>Audience</w:t>
      </w:r>
    </w:p>
    <w:p w14:paraId="72DF3CFD" w14:textId="77777777" w:rsidR="0034618A" w:rsidRDefault="0034618A" w:rsidP="0034618A">
      <w:r w:rsidRPr="00044BF1">
        <w:t>Th</w:t>
      </w:r>
      <w:r>
        <w:t>e audience for this document includes game and gaming machine suppliers, testers and venue operators</w:t>
      </w:r>
      <w:r w:rsidRPr="00044BF1">
        <w:t xml:space="preserve"> to </w:t>
      </w:r>
      <w:r>
        <w:t>ensure that games or machines submitted for approval in Victoria meet all legislative and regulatory obligations specific to Victoria</w:t>
      </w:r>
      <w:r w:rsidRPr="00044BF1">
        <w:t>.</w:t>
      </w:r>
    </w:p>
    <w:p w14:paraId="7933A639" w14:textId="77777777" w:rsidR="0034618A" w:rsidRPr="00044BF1" w:rsidRDefault="0034618A" w:rsidP="002204C6">
      <w:pPr>
        <w:pStyle w:val="Heading3"/>
      </w:pPr>
      <w:r w:rsidRPr="00044BF1">
        <w:t>Reference material</w:t>
      </w:r>
    </w:p>
    <w:p w14:paraId="4D7CE3B3" w14:textId="77777777" w:rsidR="0034618A" w:rsidRPr="00044BF1" w:rsidRDefault="0034618A" w:rsidP="0034618A">
      <w:pPr>
        <w:pStyle w:val="Spacer"/>
      </w:pPr>
    </w:p>
    <w:tbl>
      <w:tblPr>
        <w:tblStyle w:val="ListTable3"/>
        <w:tblW w:w="4552" w:type="pct"/>
        <w:tblLayout w:type="fixed"/>
        <w:tblLook w:val="0020" w:firstRow="1" w:lastRow="0" w:firstColumn="0" w:lastColumn="0" w:noHBand="0" w:noVBand="0"/>
      </w:tblPr>
      <w:tblGrid>
        <w:gridCol w:w="2920"/>
        <w:gridCol w:w="2921"/>
        <w:gridCol w:w="2919"/>
      </w:tblGrid>
      <w:tr w:rsidR="0034618A" w:rsidRPr="00357D85" w14:paraId="45EC9942"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7" w:type="pct"/>
          </w:tcPr>
          <w:p w14:paraId="4B3821C5" w14:textId="77777777" w:rsidR="0034618A" w:rsidRPr="00044BF1" w:rsidRDefault="0034618A" w:rsidP="00854F20">
            <w:pPr>
              <w:pStyle w:val="TableHeader0"/>
            </w:pPr>
            <w:r w:rsidRPr="00044BF1">
              <w:t>Bibliography</w:t>
            </w:r>
          </w:p>
        </w:tc>
        <w:tc>
          <w:tcPr>
            <w:tcW w:w="1667" w:type="pct"/>
          </w:tcPr>
          <w:p w14:paraId="437450F1"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044BF1">
              <w:t>Author</w:t>
            </w:r>
          </w:p>
        </w:tc>
        <w:tc>
          <w:tcPr>
            <w:cnfStyle w:val="000010000000" w:firstRow="0" w:lastRow="0" w:firstColumn="0" w:lastColumn="0" w:oddVBand="1" w:evenVBand="0" w:oddHBand="0" w:evenHBand="0" w:firstRowFirstColumn="0" w:firstRowLastColumn="0" w:lastRowFirstColumn="0" w:lastRowLastColumn="0"/>
            <w:tcW w:w="1667" w:type="pct"/>
          </w:tcPr>
          <w:p w14:paraId="6052073D" w14:textId="77777777" w:rsidR="0034618A" w:rsidRPr="00044BF1" w:rsidRDefault="0034618A" w:rsidP="00854F20">
            <w:pPr>
              <w:pStyle w:val="TableHeader0"/>
            </w:pPr>
            <w:r w:rsidRPr="00044BF1">
              <w:t>TRIM ID/Location</w:t>
            </w:r>
          </w:p>
        </w:tc>
      </w:tr>
      <w:tr w:rsidR="0034618A" w:rsidRPr="00357D85" w14:paraId="1FE5B6C6"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7" w:type="pct"/>
          </w:tcPr>
          <w:p w14:paraId="20C05A9C" w14:textId="77777777" w:rsidR="0034618A" w:rsidRPr="00357D85" w:rsidRDefault="0034618A" w:rsidP="00854F20">
            <w:pPr>
              <w:pStyle w:val="TableText"/>
            </w:pPr>
            <w:r>
              <w:t>Australian/New Zealand Gaming Machine National Standard 2016</w:t>
            </w:r>
          </w:p>
        </w:tc>
        <w:tc>
          <w:tcPr>
            <w:tcW w:w="1667" w:type="pct"/>
          </w:tcPr>
          <w:p w14:paraId="0E60E027"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ANZ gaming machine working party</w:t>
            </w:r>
          </w:p>
        </w:tc>
        <w:tc>
          <w:tcPr>
            <w:cnfStyle w:val="000010000000" w:firstRow="0" w:lastRow="0" w:firstColumn="0" w:lastColumn="0" w:oddVBand="1" w:evenVBand="0" w:oddHBand="0" w:evenHBand="0" w:firstRowFirstColumn="0" w:firstRowLastColumn="0" w:lastRowFirstColumn="0" w:lastRowLastColumn="0"/>
            <w:tcW w:w="1667" w:type="pct"/>
          </w:tcPr>
          <w:p w14:paraId="3583E49A" w14:textId="6841767F" w:rsidR="0034618A" w:rsidRPr="00357D85" w:rsidRDefault="0034618A" w:rsidP="00854F20">
            <w:pPr>
              <w:pStyle w:val="TableText"/>
            </w:pPr>
            <w:r>
              <w:t>CD/</w:t>
            </w:r>
            <w:r w:rsidR="00DE6B28">
              <w:t>19/18117</w:t>
            </w:r>
          </w:p>
        </w:tc>
      </w:tr>
    </w:tbl>
    <w:p w14:paraId="4AA180B4" w14:textId="77777777" w:rsidR="0034618A" w:rsidRPr="00044BF1" w:rsidRDefault="0034618A" w:rsidP="0034618A">
      <w:pPr>
        <w:pStyle w:val="Spacer"/>
      </w:pPr>
    </w:p>
    <w:p w14:paraId="30D34AC4" w14:textId="77777777" w:rsidR="0034618A" w:rsidRPr="00044BF1" w:rsidRDefault="0034618A" w:rsidP="0034618A">
      <w:pPr>
        <w:pStyle w:val="Spacer"/>
      </w:pPr>
    </w:p>
    <w:tbl>
      <w:tblPr>
        <w:tblStyle w:val="ListTable3"/>
        <w:tblW w:w="4553" w:type="pct"/>
        <w:tblLayout w:type="fixed"/>
        <w:tblLook w:val="0020" w:firstRow="1" w:lastRow="0" w:firstColumn="0" w:lastColumn="0" w:noHBand="0" w:noVBand="0"/>
      </w:tblPr>
      <w:tblGrid>
        <w:gridCol w:w="2923"/>
        <w:gridCol w:w="5839"/>
      </w:tblGrid>
      <w:tr w:rsidR="0034618A" w:rsidRPr="00357D85" w14:paraId="4C458CD7"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8" w:type="pct"/>
          </w:tcPr>
          <w:p w14:paraId="34E7FEB8" w14:textId="77777777" w:rsidR="0034618A" w:rsidRPr="00044BF1" w:rsidRDefault="0034618A" w:rsidP="00854F20">
            <w:pPr>
              <w:pStyle w:val="TableHeader0"/>
            </w:pPr>
            <w:r w:rsidRPr="00044BF1">
              <w:t>Terms</w:t>
            </w:r>
          </w:p>
        </w:tc>
        <w:tc>
          <w:tcPr>
            <w:tcW w:w="3332" w:type="pct"/>
          </w:tcPr>
          <w:p w14:paraId="4323B78E" w14:textId="77777777" w:rsidR="0034618A" w:rsidRPr="00C31093" w:rsidRDefault="0034618A" w:rsidP="00854F20">
            <w:pPr>
              <w:pStyle w:val="TableHeader0"/>
              <w:cnfStyle w:val="100000000000" w:firstRow="1" w:lastRow="0" w:firstColumn="0" w:lastColumn="0" w:oddVBand="0" w:evenVBand="0" w:oddHBand="0" w:evenHBand="0" w:firstRowFirstColumn="0" w:firstRowLastColumn="0" w:lastRowFirstColumn="0" w:lastRowLastColumn="0"/>
              <w:rPr>
                <w:lang w:val="en-US"/>
              </w:rPr>
            </w:pPr>
            <w:r w:rsidRPr="00044BF1">
              <w:t>Description</w:t>
            </w:r>
          </w:p>
        </w:tc>
      </w:tr>
      <w:tr w:rsidR="0034618A" w:rsidRPr="00357D85" w14:paraId="1194478F"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8" w:type="pct"/>
          </w:tcPr>
          <w:p w14:paraId="2338EE2C" w14:textId="77777777" w:rsidR="0034618A" w:rsidRDefault="0034618A" w:rsidP="00854F20">
            <w:pPr>
              <w:pStyle w:val="TableText"/>
            </w:pPr>
            <w:r>
              <w:t>CCA</w:t>
            </w:r>
          </w:p>
        </w:tc>
        <w:tc>
          <w:tcPr>
            <w:tcW w:w="3332" w:type="pct"/>
          </w:tcPr>
          <w:p w14:paraId="5A15CE32"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Casino Control Act 1991</w:t>
            </w:r>
          </w:p>
        </w:tc>
      </w:tr>
      <w:tr w:rsidR="0034618A" w:rsidRPr="00357D85" w14:paraId="4D7CBEC4"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1668" w:type="pct"/>
          </w:tcPr>
          <w:p w14:paraId="0089E1F0" w14:textId="77777777" w:rsidR="0034618A" w:rsidRPr="00E82136" w:rsidRDefault="0034618A" w:rsidP="00854F20">
            <w:pPr>
              <w:pStyle w:val="TableText"/>
            </w:pPr>
            <w:r>
              <w:t>CMCS</w:t>
            </w:r>
          </w:p>
        </w:tc>
        <w:tc>
          <w:tcPr>
            <w:tcW w:w="3332" w:type="pct"/>
          </w:tcPr>
          <w:p w14:paraId="44AD7560" w14:textId="77777777" w:rsidR="0034618A" w:rsidRPr="00044BF1"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Central Monitoring and Control System</w:t>
            </w:r>
          </w:p>
        </w:tc>
      </w:tr>
      <w:tr w:rsidR="0034618A" w:rsidRPr="00357D85" w14:paraId="55EA9449"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8" w:type="pct"/>
          </w:tcPr>
          <w:p w14:paraId="45AF30CE" w14:textId="77777777" w:rsidR="0034618A" w:rsidRPr="00E82136" w:rsidRDefault="0034618A" w:rsidP="00854F20">
            <w:pPr>
              <w:pStyle w:val="TableText"/>
            </w:pPr>
            <w:r>
              <w:t>VCGLR</w:t>
            </w:r>
          </w:p>
        </w:tc>
        <w:tc>
          <w:tcPr>
            <w:tcW w:w="3332" w:type="pct"/>
          </w:tcPr>
          <w:p w14:paraId="6CF0333D"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rsidRPr="00F20B20">
              <w:t>Victorian Commission for Gambling and Liquor Regulation</w:t>
            </w:r>
          </w:p>
        </w:tc>
      </w:tr>
    </w:tbl>
    <w:p w14:paraId="35036812" w14:textId="77777777" w:rsidR="00841E21" w:rsidRPr="004E575F" w:rsidRDefault="00841E21" w:rsidP="004E575F"/>
    <w:sectPr w:rsidR="00841E21" w:rsidRPr="004E575F" w:rsidSect="0098614D">
      <w:pgSz w:w="11900" w:h="16840"/>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6808" w14:textId="77777777" w:rsidR="00EB10F1" w:rsidRDefault="00EB10F1" w:rsidP="00C16930">
      <w:pPr>
        <w:spacing w:after="0" w:line="240" w:lineRule="auto"/>
      </w:pPr>
      <w:r>
        <w:separator/>
      </w:r>
    </w:p>
  </w:endnote>
  <w:endnote w:type="continuationSeparator" w:id="0">
    <w:p w14:paraId="6105A17D" w14:textId="77777777" w:rsidR="00EB10F1" w:rsidRDefault="00EB10F1" w:rsidP="00C1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412286"/>
      <w:docPartObj>
        <w:docPartGallery w:val="Page Numbers (Bottom of Page)"/>
        <w:docPartUnique/>
      </w:docPartObj>
    </w:sdtPr>
    <w:sdtEndPr>
      <w:rPr>
        <w:rStyle w:val="PageNumber"/>
      </w:rPr>
    </w:sdtEndPr>
    <w:sdtContent>
      <w:p w14:paraId="2DFC5BE7" w14:textId="77777777" w:rsidR="00854F20" w:rsidRDefault="00854F20" w:rsidP="00854F2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E67E3" w14:textId="77777777" w:rsidR="00854F20" w:rsidRDefault="00854F20" w:rsidP="0066071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093163"/>
      <w:docPartObj>
        <w:docPartGallery w:val="Page Numbers (Bottom of Page)"/>
        <w:docPartUnique/>
      </w:docPartObj>
    </w:sdtPr>
    <w:sdtEndPr>
      <w:rPr>
        <w:rStyle w:val="PageNumber"/>
      </w:rPr>
    </w:sdtEndPr>
    <w:sdtContent>
      <w:p w14:paraId="71F52A3D" w14:textId="77777777" w:rsidR="00854F20" w:rsidRDefault="00854F20" w:rsidP="00854F2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6259D9" w14:textId="77777777" w:rsidR="00854F20" w:rsidRDefault="00854F20" w:rsidP="00660712">
    <w:pPr>
      <w:pStyle w:val="Footer"/>
      <w:tabs>
        <w:tab w:val="clear" w:pos="4513"/>
        <w:tab w:val="clear" w:pos="9026"/>
        <w:tab w:val="left" w:pos="4045"/>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3830569"/>
      <w:docPartObj>
        <w:docPartGallery w:val="Page Numbers (Bottom of Page)"/>
        <w:docPartUnique/>
      </w:docPartObj>
    </w:sdtPr>
    <w:sdtEndPr>
      <w:rPr>
        <w:rStyle w:val="PageNumber"/>
      </w:rPr>
    </w:sdtEndPr>
    <w:sdtContent>
      <w:p w14:paraId="5C0CCD00" w14:textId="77777777" w:rsidR="00854F20" w:rsidRDefault="00854F20" w:rsidP="0066071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215FB9" w14:textId="77777777" w:rsidR="00854F20" w:rsidRDefault="00854F20" w:rsidP="00C256DF">
    <w:pPr>
      <w:pStyle w:val="Footer"/>
    </w:pPr>
    <w:r>
      <w:rPr>
        <w:noProof/>
      </w:rPr>
      <w:drawing>
        <wp:anchor distT="0" distB="0" distL="114300" distR="114300" simplePos="0" relativeHeight="251665408" behindDoc="1" locked="0" layoutInCell="1" allowOverlap="1" wp14:anchorId="6AAC3815" wp14:editId="6BF05AC3">
          <wp:simplePos x="0" y="0"/>
          <wp:positionH relativeFrom="column">
            <wp:posOffset>-720090</wp:posOffset>
          </wp:positionH>
          <wp:positionV relativeFrom="paragraph">
            <wp:posOffset>371399</wp:posOffset>
          </wp:positionV>
          <wp:extent cx="7558471" cy="224865"/>
          <wp:effectExtent l="0" t="0" r="0" b="381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4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6660661"/>
      <w:docPartObj>
        <w:docPartGallery w:val="Page Numbers (Bottom of Page)"/>
        <w:docPartUnique/>
      </w:docPartObj>
    </w:sdtPr>
    <w:sdtEndPr>
      <w:rPr>
        <w:rStyle w:val="PageNumber"/>
      </w:rPr>
    </w:sdtEndPr>
    <w:sdtContent>
      <w:p w14:paraId="74DAF879" w14:textId="77777777" w:rsidR="00854F20" w:rsidRDefault="00854F20" w:rsidP="00854F2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F7B1E5D" w14:textId="77777777" w:rsidR="00854F20" w:rsidRDefault="00854F20" w:rsidP="00660712">
    <w:pPr>
      <w:pStyle w:val="Footer"/>
      <w:tabs>
        <w:tab w:val="clear" w:pos="4513"/>
        <w:tab w:val="clear" w:pos="9026"/>
        <w:tab w:val="left" w:pos="4045"/>
      </w:tabs>
      <w:ind w:firstLine="360"/>
    </w:pPr>
    <w:r>
      <w:rPr>
        <w:noProof/>
      </w:rPr>
      <w:drawing>
        <wp:anchor distT="0" distB="0" distL="114300" distR="114300" simplePos="0" relativeHeight="251674624" behindDoc="1" locked="0" layoutInCell="1" allowOverlap="1" wp14:anchorId="7F4039AE" wp14:editId="5DF1B78E">
          <wp:simplePos x="0" y="0"/>
          <wp:positionH relativeFrom="column">
            <wp:posOffset>-720090</wp:posOffset>
          </wp:positionH>
          <wp:positionV relativeFrom="paragraph">
            <wp:posOffset>368935</wp:posOffset>
          </wp:positionV>
          <wp:extent cx="7558471" cy="224865"/>
          <wp:effectExtent l="0" t="0" r="0" b="381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4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1CE4" w14:textId="77777777" w:rsidR="00EB10F1" w:rsidRDefault="00EB10F1" w:rsidP="00C16930">
      <w:pPr>
        <w:spacing w:after="0" w:line="240" w:lineRule="auto"/>
      </w:pPr>
      <w:r>
        <w:separator/>
      </w:r>
    </w:p>
  </w:footnote>
  <w:footnote w:type="continuationSeparator" w:id="0">
    <w:p w14:paraId="26598889" w14:textId="77777777" w:rsidR="00EB10F1" w:rsidRDefault="00EB10F1" w:rsidP="00C16930">
      <w:pPr>
        <w:spacing w:after="0" w:line="240" w:lineRule="auto"/>
      </w:pPr>
      <w:r>
        <w:continuationSeparator/>
      </w:r>
    </w:p>
  </w:footnote>
  <w:footnote w:id="1">
    <w:p w14:paraId="16CEC7B4" w14:textId="77777777" w:rsidR="00854F20" w:rsidRDefault="00854F20" w:rsidP="0034618A">
      <w:pPr>
        <w:pStyle w:val="FootnoteText"/>
      </w:pPr>
      <w:r>
        <w:rPr>
          <w:rStyle w:val="FootnoteReference"/>
        </w:rPr>
        <w:footnoteRef/>
      </w:r>
      <w:r>
        <w:t xml:space="preserve"> A “specified area” is an area in which the provisions of sections 62AB,62AC and 81AB of the Casino Control Act and sections 3.5.29 and 3.5.30 of the Act apply.</w:t>
      </w:r>
    </w:p>
  </w:footnote>
  <w:footnote w:id="2">
    <w:p w14:paraId="15CFFBC4" w14:textId="77777777" w:rsidR="00854F20" w:rsidRDefault="00854F20" w:rsidP="0034618A">
      <w:pPr>
        <w:pStyle w:val="FootnoteText"/>
      </w:pPr>
      <w:r>
        <w:rPr>
          <w:rStyle w:val="FootnoteReference"/>
        </w:rPr>
        <w:footnoteRef/>
      </w:r>
      <w:r>
        <w:t xml:space="preserve"> A “specified area” is an area in which the provisions of sections 62AB,62AC and 81AB of the Casino Control Act and sections 3.5.29 and 3.5.30 of the Act apply.</w:t>
      </w:r>
    </w:p>
  </w:footnote>
  <w:footnote w:id="3">
    <w:p w14:paraId="66FA4A98" w14:textId="77777777" w:rsidR="00854F20" w:rsidRDefault="00854F20" w:rsidP="0034618A">
      <w:pPr>
        <w:pStyle w:val="FootnoteText"/>
      </w:pPr>
      <w:r>
        <w:rPr>
          <w:rStyle w:val="FootnoteReference"/>
        </w:rPr>
        <w:footnoteRef/>
      </w:r>
      <w:r>
        <w:t xml:space="preserve"> A “specified area” is an area in which the provisions of sections 62AB,62AC and 81AB of the CCA and sections 3.5.29 and 3.5.30 of the Act apply</w:t>
      </w:r>
    </w:p>
  </w:footnote>
  <w:footnote w:id="4">
    <w:p w14:paraId="2B0C927F" w14:textId="77777777" w:rsidR="00854F20" w:rsidRDefault="00854F20" w:rsidP="0034618A">
      <w:pPr>
        <w:pStyle w:val="FootnoteText"/>
      </w:pPr>
      <w:r>
        <w:rPr>
          <w:rStyle w:val="FootnoteReference"/>
        </w:rPr>
        <w:footnoteRef/>
      </w:r>
      <w:r>
        <w:t xml:space="preserve"> A “specified area” is an area in which the provisions of sections 62AB,62AC and 81AB of the CCA and sections 3.5.29 and 3.5.30 of the Act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2FB0" w14:textId="77777777" w:rsidR="00854F20" w:rsidRDefault="00854F20">
    <w:pPr>
      <w:pStyle w:val="Header"/>
    </w:pPr>
    <w:r>
      <w:rPr>
        <w:noProof/>
      </w:rPr>
      <w:drawing>
        <wp:anchor distT="0" distB="0" distL="114300" distR="114300" simplePos="0" relativeHeight="251672576" behindDoc="1" locked="0" layoutInCell="1" allowOverlap="1" wp14:anchorId="7D382B2C" wp14:editId="6EDD36BC">
          <wp:simplePos x="0" y="0"/>
          <wp:positionH relativeFrom="column">
            <wp:posOffset>-720090</wp:posOffset>
          </wp:positionH>
          <wp:positionV relativeFrom="paragraph">
            <wp:posOffset>1988184</wp:posOffset>
          </wp:positionV>
          <wp:extent cx="7559675" cy="8260403"/>
          <wp:effectExtent l="0" t="0" r="0" b="0"/>
          <wp:wrapNone/>
          <wp:docPr id="26" name="Picture 2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rectangle&#10;&#10;Description automatically generated"/>
                  <pic:cNvPicPr/>
                </pic:nvPicPr>
                <pic:blipFill rotWithShape="1">
                  <a:blip r:embed="rId1">
                    <a:extLst>
                      <a:ext uri="{28A0092B-C50C-407E-A947-70E740481C1C}">
                        <a14:useLocalDpi xmlns:a14="http://schemas.microsoft.com/office/drawing/2010/main"/>
                      </a:ext>
                    </a:extLst>
                  </a:blip>
                  <a:srcRect t="22691"/>
                  <a:stretch/>
                </pic:blipFill>
                <pic:spPr bwMode="auto">
                  <a:xfrm>
                    <a:off x="0" y="0"/>
                    <a:ext cx="7560000" cy="8260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8127" w14:textId="77777777" w:rsidR="00854F20" w:rsidRDefault="00854F20" w:rsidP="0051596C">
    <w:pPr>
      <w:pStyle w:val="Header"/>
    </w:pPr>
    <w:r>
      <w:rPr>
        <w:noProof/>
      </w:rPr>
      <w:drawing>
        <wp:anchor distT="0" distB="0" distL="114300" distR="114300" simplePos="0" relativeHeight="251671552" behindDoc="1" locked="0" layoutInCell="1" allowOverlap="1" wp14:anchorId="3789BEF6" wp14:editId="3A6FB62A">
          <wp:simplePos x="0" y="0"/>
          <wp:positionH relativeFrom="column">
            <wp:posOffset>-718820</wp:posOffset>
          </wp:positionH>
          <wp:positionV relativeFrom="paragraph">
            <wp:posOffset>-450850</wp:posOffset>
          </wp:positionV>
          <wp:extent cx="7559675" cy="2286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7807" w14:textId="77777777" w:rsidR="00854F20" w:rsidRDefault="00854F20">
    <w:pPr>
      <w:pStyle w:val="Header"/>
    </w:pPr>
    <w:r>
      <w:rPr>
        <w:noProof/>
      </w:rPr>
      <w:drawing>
        <wp:anchor distT="0" distB="0" distL="114300" distR="114300" simplePos="0" relativeHeight="251676672" behindDoc="1" locked="0" layoutInCell="1" allowOverlap="1" wp14:anchorId="7ED6E292" wp14:editId="14BF056F">
          <wp:simplePos x="0" y="0"/>
          <wp:positionH relativeFrom="column">
            <wp:posOffset>-720090</wp:posOffset>
          </wp:positionH>
          <wp:positionV relativeFrom="paragraph">
            <wp:posOffset>-443865</wp:posOffset>
          </wp:positionV>
          <wp:extent cx="7559675" cy="2286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AEF6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86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1A4A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CCD7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04A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0C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41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07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CB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A42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6B74"/>
    <w:multiLevelType w:val="hybridMultilevel"/>
    <w:tmpl w:val="E71CBD52"/>
    <w:lvl w:ilvl="0" w:tplc="80DCF8B8">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E32619"/>
    <w:multiLevelType w:val="hybridMultilevel"/>
    <w:tmpl w:val="228A66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EF50508"/>
    <w:multiLevelType w:val="multilevel"/>
    <w:tmpl w:val="74D46132"/>
    <w:styleLink w:val="Letter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1D0BEC"/>
    <w:multiLevelType w:val="hybridMultilevel"/>
    <w:tmpl w:val="3C6C5FD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4" w15:restartNumberingAfterBreak="0">
    <w:nsid w:val="14E24EC6"/>
    <w:multiLevelType w:val="hybridMultilevel"/>
    <w:tmpl w:val="A0DCB44C"/>
    <w:lvl w:ilvl="0" w:tplc="EC3C46C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AB418C0"/>
    <w:multiLevelType w:val="hybridMultilevel"/>
    <w:tmpl w:val="181A210E"/>
    <w:lvl w:ilvl="0" w:tplc="EC3C46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BA35373"/>
    <w:multiLevelType w:val="multilevel"/>
    <w:tmpl w:val="265C08CA"/>
    <w:lvl w:ilvl="0">
      <w:start w:val="1"/>
      <w:numFmt w:val="decimal"/>
      <w:pStyle w:val="Alphabetlist"/>
      <w:lvlText w:val="%1."/>
      <w:lvlJc w:val="left"/>
      <w:pPr>
        <w:ind w:left="360" w:hanging="360"/>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B160D3"/>
    <w:multiLevelType w:val="hybridMultilevel"/>
    <w:tmpl w:val="7EEC9A46"/>
    <w:lvl w:ilvl="0" w:tplc="EC3C46C0">
      <w:start w:val="1"/>
      <w:numFmt w:val="lowerLetter"/>
      <w:lvlText w:val="(%1)"/>
      <w:lvlJc w:val="left"/>
      <w:pPr>
        <w:tabs>
          <w:tab w:val="num" w:pos="2430"/>
        </w:tabs>
        <w:ind w:left="2430" w:hanging="9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D012EF4"/>
    <w:multiLevelType w:val="multilevel"/>
    <w:tmpl w:val="058063C6"/>
    <w:lvl w:ilvl="0">
      <w:start w:val="1"/>
      <w:numFmt w:val="decimal"/>
      <w:lvlText w:val="%1."/>
      <w:lvlJc w:val="left"/>
      <w:pPr>
        <w:ind w:left="360" w:hanging="360"/>
      </w:pPr>
      <w:rPr>
        <w:rFonts w:hint="default"/>
      </w:rPr>
    </w:lvl>
    <w:lvl w:ilvl="1">
      <w:start w:val="1"/>
      <w:numFmt w:val="decimal"/>
      <w:pStyle w:val="NumberedH2"/>
      <w:lvlText w:val="%1.%2."/>
      <w:lvlJc w:val="left"/>
      <w:pPr>
        <w:ind w:left="792" w:hanging="792"/>
      </w:pPr>
      <w:rPr>
        <w:rFonts w:hint="default"/>
      </w:rPr>
    </w:lvl>
    <w:lvl w:ilvl="2">
      <w:start w:val="1"/>
      <w:numFmt w:val="decimal"/>
      <w:pStyle w:val="NumberedH3"/>
      <w:lvlText w:val="%1.%2.%3."/>
      <w:lvlJc w:val="left"/>
      <w:pPr>
        <w:ind w:left="794" w:hanging="794"/>
      </w:pPr>
      <w:rPr>
        <w:rFonts w:hint="default"/>
      </w:rPr>
    </w:lvl>
    <w:lvl w:ilvl="3">
      <w:start w:val="1"/>
      <w:numFmt w:val="decimal"/>
      <w:pStyle w:val="NumberedH4"/>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2A28FE"/>
    <w:multiLevelType w:val="hybridMultilevel"/>
    <w:tmpl w:val="852424C2"/>
    <w:lvl w:ilvl="0" w:tplc="169484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AC308D"/>
    <w:multiLevelType w:val="hybridMultilevel"/>
    <w:tmpl w:val="A47CA21C"/>
    <w:lvl w:ilvl="0" w:tplc="EC3C46C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310175F"/>
    <w:multiLevelType w:val="hybridMultilevel"/>
    <w:tmpl w:val="05D8A350"/>
    <w:lvl w:ilvl="0" w:tplc="A12C862A">
      <w:start w:val="1"/>
      <w:numFmt w:val="decimal"/>
      <w:lvlText w:val="%1."/>
      <w:lvlJc w:val="left"/>
      <w:pPr>
        <w:ind w:left="720" w:hanging="360"/>
      </w:pPr>
    </w:lvl>
    <w:lvl w:ilvl="1" w:tplc="08090019">
      <w:start w:val="1"/>
      <w:numFmt w:val="lowerLetter"/>
      <w:pStyle w:val="Bulletlistleve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56DC2"/>
    <w:multiLevelType w:val="hybridMultilevel"/>
    <w:tmpl w:val="181A210E"/>
    <w:lvl w:ilvl="0" w:tplc="EC3C46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3A5DDB"/>
    <w:multiLevelType w:val="multilevel"/>
    <w:tmpl w:val="A888FD84"/>
    <w:lvl w:ilvl="0">
      <w:start w:val="1"/>
      <w:numFmt w:val="decimal"/>
      <w:pStyle w:val="Numberlistlegal"/>
      <w:lvlText w:val="%1."/>
      <w:lvlJc w:val="left"/>
      <w:pPr>
        <w:ind w:left="1431" w:hanging="360"/>
      </w:pPr>
    </w:lvl>
    <w:lvl w:ilvl="1">
      <w:start w:val="1"/>
      <w:numFmt w:val="decimal"/>
      <w:pStyle w:val="Numberlistlegallevel2"/>
      <w:lvlText w:val="%1.%2."/>
      <w:lvlJc w:val="left"/>
      <w:pPr>
        <w:ind w:left="1863" w:hanging="432"/>
      </w:pPr>
    </w:lvl>
    <w:lvl w:ilvl="2">
      <w:start w:val="1"/>
      <w:numFmt w:val="decimal"/>
      <w:pStyle w:val="Numberlistlegallevel3"/>
      <w:lvlText w:val="%1.%2.%3."/>
      <w:lvlJc w:val="left"/>
      <w:pPr>
        <w:ind w:left="2295" w:hanging="504"/>
      </w:pPr>
    </w:lvl>
    <w:lvl w:ilvl="3">
      <w:start w:val="1"/>
      <w:numFmt w:val="decimal"/>
      <w:lvlText w:val="%1.%2.%3.%4."/>
      <w:lvlJc w:val="left"/>
      <w:pPr>
        <w:ind w:left="2799" w:hanging="648"/>
      </w:pPr>
    </w:lvl>
    <w:lvl w:ilvl="4">
      <w:start w:val="1"/>
      <w:numFmt w:val="decimal"/>
      <w:lvlText w:val="%1.%2.%3.%4.%5."/>
      <w:lvlJc w:val="left"/>
      <w:pPr>
        <w:ind w:left="3303" w:hanging="792"/>
      </w:pPr>
    </w:lvl>
    <w:lvl w:ilvl="5">
      <w:start w:val="1"/>
      <w:numFmt w:val="decimal"/>
      <w:lvlText w:val="%1.%2.%3.%4.%5.%6."/>
      <w:lvlJc w:val="left"/>
      <w:pPr>
        <w:ind w:left="3807" w:hanging="936"/>
      </w:pPr>
    </w:lvl>
    <w:lvl w:ilvl="6">
      <w:start w:val="1"/>
      <w:numFmt w:val="decimal"/>
      <w:lvlText w:val="%1.%2.%3.%4.%5.%6.%7."/>
      <w:lvlJc w:val="left"/>
      <w:pPr>
        <w:ind w:left="4311" w:hanging="1080"/>
      </w:pPr>
    </w:lvl>
    <w:lvl w:ilvl="7">
      <w:start w:val="1"/>
      <w:numFmt w:val="decimal"/>
      <w:lvlText w:val="%1.%2.%3.%4.%5.%6.%7.%8."/>
      <w:lvlJc w:val="left"/>
      <w:pPr>
        <w:ind w:left="4815" w:hanging="1224"/>
      </w:pPr>
    </w:lvl>
    <w:lvl w:ilvl="8">
      <w:start w:val="1"/>
      <w:numFmt w:val="decimal"/>
      <w:lvlText w:val="%1.%2.%3.%4.%5.%6.%7.%8.%9."/>
      <w:lvlJc w:val="left"/>
      <w:pPr>
        <w:ind w:left="5391" w:hanging="1440"/>
      </w:pPr>
    </w:lvl>
  </w:abstractNum>
  <w:abstractNum w:abstractNumId="25" w15:restartNumberingAfterBreak="0">
    <w:nsid w:val="4CC8551A"/>
    <w:multiLevelType w:val="hybridMultilevel"/>
    <w:tmpl w:val="0BEC97BC"/>
    <w:lvl w:ilvl="0" w:tplc="EC3C46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E000999"/>
    <w:multiLevelType w:val="hybridMultilevel"/>
    <w:tmpl w:val="472A61E0"/>
    <w:lvl w:ilvl="0" w:tplc="41ACDA6A">
      <w:start w:val="1"/>
      <w:numFmt w:val="decimal"/>
      <w:pStyle w:val="NumberedH1"/>
      <w:lvlText w:val="%1"/>
      <w:lvlJc w:val="left"/>
      <w:pPr>
        <w:ind w:left="720" w:hanging="360"/>
      </w:pPr>
      <w:rPr>
        <w:rFonts w:cs="Times New Roman (Headings CS)" w:hint="default"/>
        <w:color w:val="2459A9" w:themeColor="text1"/>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A2073E"/>
    <w:multiLevelType w:val="hybridMultilevel"/>
    <w:tmpl w:val="1310AFC0"/>
    <w:lvl w:ilvl="0" w:tplc="EC3C46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6025C56"/>
    <w:multiLevelType w:val="singleLevel"/>
    <w:tmpl w:val="0C09000F"/>
    <w:lvl w:ilvl="0">
      <w:start w:val="1"/>
      <w:numFmt w:val="decimal"/>
      <w:lvlText w:val="%1."/>
      <w:lvlJc w:val="left"/>
      <w:pPr>
        <w:tabs>
          <w:tab w:val="num" w:pos="360"/>
        </w:tabs>
        <w:ind w:left="360" w:hanging="360"/>
      </w:pPr>
      <w:rPr>
        <w:rFonts w:hint="default"/>
      </w:rPr>
    </w:lvl>
  </w:abstractNum>
  <w:abstractNum w:abstractNumId="29" w15:restartNumberingAfterBreak="0">
    <w:nsid w:val="5A250839"/>
    <w:multiLevelType w:val="hybridMultilevel"/>
    <w:tmpl w:val="4068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0486FEC2">
      <w:start w:val="1"/>
      <w:numFmt w:val="bullet"/>
      <w:pStyle w:val="Bullet1"/>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31" w15:restartNumberingAfterBreak="0">
    <w:nsid w:val="6AC72E82"/>
    <w:multiLevelType w:val="hybridMultilevel"/>
    <w:tmpl w:val="1318E274"/>
    <w:lvl w:ilvl="0" w:tplc="443C191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AF504CC"/>
    <w:multiLevelType w:val="hybridMultilevel"/>
    <w:tmpl w:val="915AA234"/>
    <w:lvl w:ilvl="0" w:tplc="EC3C46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56BDC"/>
    <w:multiLevelType w:val="hybridMultilevel"/>
    <w:tmpl w:val="460A3B44"/>
    <w:lvl w:ilvl="0" w:tplc="11C41416">
      <w:start w:val="1"/>
      <w:numFmt w:val="decimal"/>
      <w:lvlText w:val="%1"/>
      <w:lvlJc w:val="left"/>
      <w:pPr>
        <w:ind w:left="1160" w:hanging="8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0"/>
  </w:num>
  <w:num w:numId="3">
    <w:abstractNumId w:val="30"/>
  </w:num>
  <w:num w:numId="4">
    <w:abstractNumId w:val="30"/>
  </w:num>
  <w:num w:numId="5">
    <w:abstractNumId w:val="30"/>
  </w:num>
  <w:num w:numId="6">
    <w:abstractNumId w:val="22"/>
  </w:num>
  <w:num w:numId="7">
    <w:abstractNumId w:val="16"/>
  </w:num>
  <w:num w:numId="8">
    <w:abstractNumId w:val="30"/>
  </w:num>
  <w:num w:numId="9">
    <w:abstractNumId w:val="22"/>
  </w:num>
  <w:num w:numId="10">
    <w:abstractNumId w:val="21"/>
  </w:num>
  <w:num w:numId="11">
    <w:abstractNumId w:val="16"/>
  </w:num>
  <w:num w:numId="12">
    <w:abstractNumId w:val="10"/>
  </w:num>
  <w:num w:numId="13">
    <w:abstractNumId w:val="12"/>
  </w:num>
  <w:num w:numId="14">
    <w:abstractNumId w:val="21"/>
  </w:num>
  <w:num w:numId="15">
    <w:abstractNumId w:val="21"/>
  </w:num>
  <w:num w:numId="16">
    <w:abstractNumId w:val="21"/>
  </w:num>
  <w:num w:numId="17">
    <w:abstractNumId w:val="21"/>
  </w:num>
  <w:num w:numId="18">
    <w:abstractNumId w:val="34"/>
  </w:num>
  <w:num w:numId="19">
    <w:abstractNumId w:val="18"/>
  </w:num>
  <w:num w:numId="20">
    <w:abstractNumId w:val="26"/>
  </w:num>
  <w:num w:numId="21">
    <w:abstractNumId w:val="24"/>
  </w:num>
  <w:num w:numId="22">
    <w:abstractNumId w:val="0"/>
  </w:num>
  <w:num w:numId="23">
    <w:abstractNumId w:val="1"/>
  </w:num>
  <w:num w:numId="24">
    <w:abstractNumId w:val="2"/>
  </w:num>
  <w:num w:numId="25">
    <w:abstractNumId w:val="3"/>
  </w:num>
  <w:num w:numId="26">
    <w:abstractNumId w:val="8"/>
  </w:num>
  <w:num w:numId="27">
    <w:abstractNumId w:val="4"/>
  </w:num>
  <w:num w:numId="28">
    <w:abstractNumId w:val="5"/>
  </w:num>
  <w:num w:numId="29">
    <w:abstractNumId w:val="6"/>
  </w:num>
  <w:num w:numId="30">
    <w:abstractNumId w:val="7"/>
  </w:num>
  <w:num w:numId="31">
    <w:abstractNumId w:val="9"/>
  </w:num>
  <w:num w:numId="32">
    <w:abstractNumId w:val="28"/>
  </w:num>
  <w:num w:numId="33">
    <w:abstractNumId w:val="31"/>
  </w:num>
  <w:num w:numId="34">
    <w:abstractNumId w:val="19"/>
  </w:num>
  <w:num w:numId="35">
    <w:abstractNumId w:val="14"/>
  </w:num>
  <w:num w:numId="36">
    <w:abstractNumId w:val="32"/>
  </w:num>
  <w:num w:numId="37">
    <w:abstractNumId w:val="27"/>
  </w:num>
  <w:num w:numId="38">
    <w:abstractNumId w:val="25"/>
  </w:num>
  <w:num w:numId="39">
    <w:abstractNumId w:val="23"/>
  </w:num>
  <w:num w:numId="40">
    <w:abstractNumId w:val="17"/>
  </w:num>
  <w:num w:numId="41">
    <w:abstractNumId w:val="20"/>
  </w:num>
  <w:num w:numId="42">
    <w:abstractNumId w:val="11"/>
  </w:num>
  <w:num w:numId="43">
    <w:abstractNumId w:val="15"/>
  </w:num>
  <w:num w:numId="44">
    <w:abstractNumId w:val="13"/>
  </w:num>
  <w:num w:numId="45">
    <w:abstractNumId w:val="2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D4"/>
    <w:rsid w:val="00002484"/>
    <w:rsid w:val="000169F3"/>
    <w:rsid w:val="00023600"/>
    <w:rsid w:val="000849DB"/>
    <w:rsid w:val="00093E7A"/>
    <w:rsid w:val="000E35ED"/>
    <w:rsid w:val="0012661B"/>
    <w:rsid w:val="00137A20"/>
    <w:rsid w:val="00144F1F"/>
    <w:rsid w:val="0015425A"/>
    <w:rsid w:val="00220372"/>
    <w:rsid w:val="002204C6"/>
    <w:rsid w:val="00235278"/>
    <w:rsid w:val="00275A9A"/>
    <w:rsid w:val="0029301E"/>
    <w:rsid w:val="002C509C"/>
    <w:rsid w:val="002E0F69"/>
    <w:rsid w:val="002F7996"/>
    <w:rsid w:val="00345FDC"/>
    <w:rsid w:val="0034618A"/>
    <w:rsid w:val="004273F2"/>
    <w:rsid w:val="00444171"/>
    <w:rsid w:val="00455C47"/>
    <w:rsid w:val="004913F4"/>
    <w:rsid w:val="004B6C14"/>
    <w:rsid w:val="004C61A8"/>
    <w:rsid w:val="004C7E37"/>
    <w:rsid w:val="004E575F"/>
    <w:rsid w:val="00511D64"/>
    <w:rsid w:val="0051596C"/>
    <w:rsid w:val="0053548B"/>
    <w:rsid w:val="005C62E8"/>
    <w:rsid w:val="005D4A14"/>
    <w:rsid w:val="005E086F"/>
    <w:rsid w:val="005E5502"/>
    <w:rsid w:val="005F3490"/>
    <w:rsid w:val="0063387D"/>
    <w:rsid w:val="00660712"/>
    <w:rsid w:val="00766334"/>
    <w:rsid w:val="007B0B0D"/>
    <w:rsid w:val="007C56D7"/>
    <w:rsid w:val="007D4912"/>
    <w:rsid w:val="00806745"/>
    <w:rsid w:val="00841E21"/>
    <w:rsid w:val="00854F20"/>
    <w:rsid w:val="00860E4D"/>
    <w:rsid w:val="008830DC"/>
    <w:rsid w:val="008C0218"/>
    <w:rsid w:val="00936381"/>
    <w:rsid w:val="00943784"/>
    <w:rsid w:val="00951964"/>
    <w:rsid w:val="00966745"/>
    <w:rsid w:val="0098614D"/>
    <w:rsid w:val="009D2F09"/>
    <w:rsid w:val="00A075F5"/>
    <w:rsid w:val="00A11C2B"/>
    <w:rsid w:val="00A173D3"/>
    <w:rsid w:val="00A46EA6"/>
    <w:rsid w:val="00A86113"/>
    <w:rsid w:val="00AB06B8"/>
    <w:rsid w:val="00AD03C8"/>
    <w:rsid w:val="00AD3A3C"/>
    <w:rsid w:val="00B32C33"/>
    <w:rsid w:val="00B32E0B"/>
    <w:rsid w:val="00BA50D0"/>
    <w:rsid w:val="00BB1356"/>
    <w:rsid w:val="00BD644C"/>
    <w:rsid w:val="00C16930"/>
    <w:rsid w:val="00C256DF"/>
    <w:rsid w:val="00C409BA"/>
    <w:rsid w:val="00C43B38"/>
    <w:rsid w:val="00C941A4"/>
    <w:rsid w:val="00C9656B"/>
    <w:rsid w:val="00CA182E"/>
    <w:rsid w:val="00CB7435"/>
    <w:rsid w:val="00CF31D4"/>
    <w:rsid w:val="00D3102F"/>
    <w:rsid w:val="00D33211"/>
    <w:rsid w:val="00D456A4"/>
    <w:rsid w:val="00DC7907"/>
    <w:rsid w:val="00DE6B28"/>
    <w:rsid w:val="00E47F4D"/>
    <w:rsid w:val="00EB10F1"/>
    <w:rsid w:val="00EF524A"/>
    <w:rsid w:val="00FD61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1C92"/>
  <w15:chartTrackingRefBased/>
  <w15:docId w15:val="{42C7B53C-0761-AE49-9A99-53E5062A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345FDC"/>
    <w:pPr>
      <w:spacing w:after="120" w:line="276" w:lineRule="auto"/>
    </w:pPr>
    <w:rPr>
      <w:sz w:val="22"/>
      <w:lang w:val="en-GB"/>
    </w:rPr>
  </w:style>
  <w:style w:type="paragraph" w:styleId="Heading1">
    <w:name w:val="heading 1"/>
    <w:basedOn w:val="Normal"/>
    <w:next w:val="Normal"/>
    <w:link w:val="Heading1Char"/>
    <w:qFormat/>
    <w:rsid w:val="00144F1F"/>
    <w:pPr>
      <w:keepNext/>
      <w:keepLines/>
      <w:spacing w:before="240"/>
      <w:outlineLvl w:val="0"/>
    </w:pPr>
    <w:rPr>
      <w:rFonts w:asciiTheme="majorHAnsi" w:eastAsiaTheme="majorEastAsia" w:hAnsiTheme="majorHAnsi" w:cs="Times New Roman (Headings CS)"/>
      <w:b/>
      <w:color w:val="2459A9" w:themeColor="text1"/>
      <w:sz w:val="44"/>
      <w:szCs w:val="32"/>
    </w:rPr>
  </w:style>
  <w:style w:type="paragraph" w:styleId="Heading2">
    <w:name w:val="heading 2"/>
    <w:basedOn w:val="Normal"/>
    <w:next w:val="Normal"/>
    <w:link w:val="Heading2Char"/>
    <w:unhideWhenUsed/>
    <w:qFormat/>
    <w:rsid w:val="00AB06B8"/>
    <w:pPr>
      <w:keepNext/>
      <w:keepLines/>
      <w:spacing w:before="360"/>
      <w:outlineLvl w:val="1"/>
    </w:pPr>
    <w:rPr>
      <w:rFonts w:asciiTheme="majorHAnsi" w:eastAsiaTheme="majorEastAsia" w:hAnsiTheme="majorHAnsi" w:cs="Times New Roman (Headings CS)"/>
      <w:b/>
      <w:color w:val="262B67" w:themeColor="text2"/>
      <w:sz w:val="36"/>
      <w:szCs w:val="26"/>
      <w:lang w:val="en-AU"/>
    </w:rPr>
  </w:style>
  <w:style w:type="paragraph" w:styleId="Heading3">
    <w:name w:val="heading 3"/>
    <w:basedOn w:val="Normal"/>
    <w:next w:val="Normal"/>
    <w:link w:val="Heading3Char"/>
    <w:uiPriority w:val="9"/>
    <w:unhideWhenUsed/>
    <w:qFormat/>
    <w:rsid w:val="00144F1F"/>
    <w:pPr>
      <w:keepNext/>
      <w:keepLines/>
      <w:spacing w:before="240"/>
      <w:outlineLvl w:val="2"/>
    </w:pPr>
    <w:rPr>
      <w:rFonts w:asciiTheme="majorHAnsi" w:eastAsiaTheme="majorEastAsia" w:hAnsiTheme="majorHAnsi" w:cstheme="majorBidi"/>
      <w:b/>
      <w:color w:val="470A68" w:themeColor="accent6"/>
      <w:sz w:val="28"/>
    </w:rPr>
  </w:style>
  <w:style w:type="paragraph" w:styleId="Heading4">
    <w:name w:val="heading 4"/>
    <w:basedOn w:val="Normal"/>
    <w:next w:val="Normal"/>
    <w:link w:val="Heading4Char"/>
    <w:uiPriority w:val="9"/>
    <w:unhideWhenUsed/>
    <w:qFormat/>
    <w:rsid w:val="00E47F4D"/>
    <w:pPr>
      <w:keepNext/>
      <w:keepLines/>
      <w:outlineLvl w:val="3"/>
    </w:pPr>
    <w:rPr>
      <w:rFonts w:asciiTheme="majorHAnsi" w:eastAsiaTheme="majorEastAsia" w:hAnsiTheme="majorHAnsi" w:cstheme="majorBidi"/>
      <w:b/>
      <w:iCs/>
      <w:color w:val="68478D" w:themeColor="accent4"/>
      <w:sz w:val="24"/>
    </w:rPr>
  </w:style>
  <w:style w:type="paragraph" w:styleId="Heading5">
    <w:name w:val="heading 5"/>
    <w:basedOn w:val="Normal"/>
    <w:next w:val="Normal"/>
    <w:link w:val="Heading5Char"/>
    <w:uiPriority w:val="9"/>
    <w:unhideWhenUsed/>
    <w:qFormat/>
    <w:rsid w:val="00D33211"/>
    <w:pPr>
      <w:keepNext/>
      <w:keepLines/>
      <w:outlineLvl w:val="4"/>
    </w:pPr>
    <w:rPr>
      <w:rFonts w:asciiTheme="majorHAnsi" w:eastAsiaTheme="majorEastAsia" w:hAnsiTheme="majorHAnsi" w:cstheme="majorBidi"/>
      <w:b/>
      <w:color w:val="000000"/>
      <w:lang w:val="en-AU"/>
    </w:rPr>
  </w:style>
  <w:style w:type="paragraph" w:styleId="Heading6">
    <w:name w:val="heading 6"/>
    <w:basedOn w:val="Normal"/>
    <w:next w:val="Normal"/>
    <w:link w:val="Heading6Char"/>
    <w:uiPriority w:val="9"/>
    <w:unhideWhenUsed/>
    <w:qFormat/>
    <w:rsid w:val="00144F1F"/>
    <w:pPr>
      <w:keepNext/>
      <w:keepLines/>
      <w:spacing w:after="0"/>
      <w:outlineLvl w:val="5"/>
    </w:pPr>
    <w:rPr>
      <w:rFonts w:asciiTheme="majorHAnsi" w:eastAsiaTheme="majorEastAsia" w:hAnsiTheme="majorHAnsi" w:cstheme="majorBidi"/>
      <w:color w:val="262B67" w:themeColor="text2"/>
    </w:rPr>
  </w:style>
  <w:style w:type="paragraph" w:styleId="Heading7">
    <w:name w:val="heading 7"/>
    <w:basedOn w:val="Normal"/>
    <w:next w:val="Normal"/>
    <w:link w:val="Heading7Char"/>
    <w:uiPriority w:val="9"/>
    <w:semiHidden/>
    <w:unhideWhenUsed/>
    <w:qFormat/>
    <w:rsid w:val="0053548B"/>
    <w:pPr>
      <w:keepNext/>
      <w:keepLines/>
      <w:spacing w:before="40" w:after="0"/>
      <w:outlineLvl w:val="6"/>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1F"/>
    <w:rPr>
      <w:rFonts w:asciiTheme="majorHAnsi" w:eastAsiaTheme="majorEastAsia" w:hAnsiTheme="majorHAnsi" w:cs="Times New Roman (Headings CS)"/>
      <w:b/>
      <w:color w:val="2459A9" w:themeColor="text1"/>
      <w:sz w:val="44"/>
      <w:szCs w:val="32"/>
    </w:rPr>
  </w:style>
  <w:style w:type="character" w:customStyle="1" w:styleId="Heading2Char">
    <w:name w:val="Heading 2 Char"/>
    <w:basedOn w:val="DefaultParagraphFont"/>
    <w:link w:val="Heading2"/>
    <w:uiPriority w:val="9"/>
    <w:rsid w:val="00AB06B8"/>
    <w:rPr>
      <w:rFonts w:asciiTheme="majorHAnsi" w:eastAsiaTheme="majorEastAsia" w:hAnsiTheme="majorHAnsi" w:cs="Times New Roman (Headings CS)"/>
      <w:b/>
      <w:color w:val="262B67" w:themeColor="text2"/>
      <w:sz w:val="36"/>
      <w:szCs w:val="26"/>
    </w:rPr>
  </w:style>
  <w:style w:type="character" w:customStyle="1" w:styleId="Heading3Char">
    <w:name w:val="Heading 3 Char"/>
    <w:basedOn w:val="DefaultParagraphFont"/>
    <w:link w:val="Heading3"/>
    <w:uiPriority w:val="9"/>
    <w:rsid w:val="00144F1F"/>
    <w:rPr>
      <w:rFonts w:asciiTheme="majorHAnsi" w:eastAsiaTheme="majorEastAsia" w:hAnsiTheme="majorHAnsi" w:cstheme="majorBidi"/>
      <w:b/>
      <w:color w:val="470A68" w:themeColor="accent6"/>
      <w:sz w:val="28"/>
    </w:rPr>
  </w:style>
  <w:style w:type="paragraph" w:customStyle="1" w:styleId="ReportCoverHeading">
    <w:name w:val="Report Cover Heading"/>
    <w:basedOn w:val="Heading1"/>
    <w:rsid w:val="00AD03C8"/>
    <w:rPr>
      <w:szCs w:val="84"/>
    </w:rPr>
  </w:style>
  <w:style w:type="paragraph" w:customStyle="1" w:styleId="ReportCoverSubheading">
    <w:name w:val="Report Cover Subheading"/>
    <w:basedOn w:val="Normal"/>
    <w:rsid w:val="00AD03C8"/>
    <w:rPr>
      <w:color w:val="262B67" w:themeColor="text2"/>
      <w:sz w:val="32"/>
      <w:szCs w:val="48"/>
    </w:rPr>
  </w:style>
  <w:style w:type="paragraph" w:customStyle="1" w:styleId="Intro">
    <w:name w:val="Intro"/>
    <w:basedOn w:val="Normal"/>
    <w:qFormat/>
    <w:rsid w:val="00144F1F"/>
    <w:pPr>
      <w:spacing w:after="240"/>
    </w:pPr>
    <w:rPr>
      <w:b/>
      <w:color w:val="262B67" w:themeColor="text2"/>
    </w:rPr>
  </w:style>
  <w:style w:type="character" w:customStyle="1" w:styleId="Heading7Char">
    <w:name w:val="Heading 7 Char"/>
    <w:basedOn w:val="DefaultParagraphFont"/>
    <w:link w:val="Heading7"/>
    <w:uiPriority w:val="9"/>
    <w:semiHidden/>
    <w:rsid w:val="0053548B"/>
    <w:rPr>
      <w:rFonts w:asciiTheme="majorHAnsi" w:eastAsiaTheme="majorEastAsia" w:hAnsiTheme="majorHAnsi" w:cstheme="majorBidi"/>
      <w:i/>
      <w:iCs/>
      <w:color w:val="000000"/>
      <w:sz w:val="20"/>
      <w:lang w:val="en-GB"/>
    </w:rPr>
  </w:style>
  <w:style w:type="paragraph" w:customStyle="1" w:styleId="TableHead">
    <w:name w:val="Table Head"/>
    <w:basedOn w:val="Normal"/>
    <w:qFormat/>
    <w:rsid w:val="00144F1F"/>
    <w:rPr>
      <w:b/>
      <w:color w:val="FFFFFF" w:themeColor="background1"/>
    </w:rPr>
  </w:style>
  <w:style w:type="paragraph" w:customStyle="1" w:styleId="Numberlistlegal">
    <w:name w:val="Number list legal"/>
    <w:basedOn w:val="ListParagraph"/>
    <w:qFormat/>
    <w:rsid w:val="00444171"/>
    <w:pPr>
      <w:numPr>
        <w:numId w:val="21"/>
      </w:numPr>
      <w:ind w:left="357" w:hanging="357"/>
      <w:contextualSpacing w:val="0"/>
    </w:pPr>
  </w:style>
  <w:style w:type="paragraph" w:customStyle="1" w:styleId="Bullet1">
    <w:name w:val="Bullet 1"/>
    <w:basedOn w:val="Normal"/>
    <w:next w:val="Normal"/>
    <w:qFormat/>
    <w:rsid w:val="004E575F"/>
    <w:pPr>
      <w:numPr>
        <w:numId w:val="8"/>
      </w:numPr>
      <w:ind w:left="357" w:hanging="357"/>
    </w:pPr>
  </w:style>
  <w:style w:type="paragraph" w:styleId="TOCHeading">
    <w:name w:val="TOC Heading"/>
    <w:basedOn w:val="Heading1"/>
    <w:next w:val="Normal"/>
    <w:uiPriority w:val="39"/>
    <w:unhideWhenUsed/>
    <w:qFormat/>
    <w:rsid w:val="00806745"/>
    <w:pPr>
      <w:spacing w:after="0"/>
      <w:outlineLvl w:val="9"/>
    </w:pPr>
    <w:rPr>
      <w:rFonts w:cstheme="majorBidi"/>
      <w:b w:val="0"/>
      <w:color w:val="2D8236" w:themeColor="accent1" w:themeShade="BF"/>
      <w:sz w:val="32"/>
    </w:rPr>
  </w:style>
  <w:style w:type="paragraph" w:customStyle="1" w:styleId="Acttextitalic">
    <w:name w:val="Act text italic"/>
    <w:basedOn w:val="Normal"/>
    <w:rsid w:val="00AD03C8"/>
    <w:rPr>
      <w:i/>
      <w:iCs/>
    </w:rPr>
  </w:style>
  <w:style w:type="paragraph" w:customStyle="1" w:styleId="Bullet2">
    <w:name w:val="Bullet 2"/>
    <w:basedOn w:val="Bullet1"/>
    <w:qFormat/>
    <w:rsid w:val="00144F1F"/>
    <w:pPr>
      <w:numPr>
        <w:numId w:val="9"/>
      </w:numPr>
    </w:pPr>
  </w:style>
  <w:style w:type="character" w:customStyle="1" w:styleId="Heading4Char">
    <w:name w:val="Heading 4 Char"/>
    <w:basedOn w:val="DefaultParagraphFont"/>
    <w:link w:val="Heading4"/>
    <w:uiPriority w:val="9"/>
    <w:rsid w:val="00E47F4D"/>
    <w:rPr>
      <w:rFonts w:asciiTheme="majorHAnsi" w:eastAsiaTheme="majorEastAsia" w:hAnsiTheme="majorHAnsi" w:cstheme="majorBidi"/>
      <w:b/>
      <w:iCs/>
      <w:color w:val="68478D" w:themeColor="accent4"/>
      <w:lang w:val="en-GB"/>
    </w:rPr>
  </w:style>
  <w:style w:type="paragraph" w:customStyle="1" w:styleId="Tablebody">
    <w:name w:val="Table body"/>
    <w:basedOn w:val="Normal"/>
    <w:qFormat/>
    <w:rsid w:val="00C9656B"/>
    <w:pPr>
      <w:spacing w:before="20" w:after="20"/>
    </w:pPr>
  </w:style>
  <w:style w:type="paragraph" w:customStyle="1" w:styleId="Alphabetlist">
    <w:name w:val="Alphabet list"/>
    <w:basedOn w:val="Normal"/>
    <w:qFormat/>
    <w:rsid w:val="004E575F"/>
    <w:pPr>
      <w:numPr>
        <w:numId w:val="11"/>
      </w:numPr>
    </w:pPr>
    <w:rPr>
      <w:lang w:val="en-AU"/>
    </w:rPr>
  </w:style>
  <w:style w:type="character" w:customStyle="1" w:styleId="Heading5Char">
    <w:name w:val="Heading 5 Char"/>
    <w:basedOn w:val="DefaultParagraphFont"/>
    <w:link w:val="Heading5"/>
    <w:uiPriority w:val="9"/>
    <w:rsid w:val="00D33211"/>
    <w:rPr>
      <w:rFonts w:asciiTheme="majorHAnsi" w:eastAsiaTheme="majorEastAsia" w:hAnsiTheme="majorHAnsi" w:cstheme="majorBidi"/>
      <w:b/>
      <w:color w:val="000000"/>
      <w:sz w:val="22"/>
    </w:rPr>
  </w:style>
  <w:style w:type="character" w:customStyle="1" w:styleId="Heading6Char">
    <w:name w:val="Heading 6 Char"/>
    <w:basedOn w:val="DefaultParagraphFont"/>
    <w:link w:val="Heading6"/>
    <w:uiPriority w:val="9"/>
    <w:rsid w:val="00144F1F"/>
    <w:rPr>
      <w:rFonts w:asciiTheme="majorHAnsi" w:eastAsiaTheme="majorEastAsia" w:hAnsiTheme="majorHAnsi" w:cstheme="majorBidi"/>
      <w:color w:val="262B67" w:themeColor="text2"/>
      <w:sz w:val="22"/>
    </w:rPr>
  </w:style>
  <w:style w:type="paragraph" w:styleId="Subtitle">
    <w:name w:val="Subtitle"/>
    <w:basedOn w:val="Normal"/>
    <w:next w:val="Normal"/>
    <w:link w:val="SubtitleChar"/>
    <w:uiPriority w:val="11"/>
    <w:qFormat/>
    <w:rsid w:val="0053548B"/>
    <w:pPr>
      <w:numPr>
        <w:ilvl w:val="1"/>
      </w:numPr>
      <w:spacing w:after="160"/>
    </w:pPr>
    <w:rPr>
      <w:rFonts w:eastAsiaTheme="minorEastAsia"/>
      <w:color w:val="262B67" w:themeColor="text2"/>
      <w:spacing w:val="15"/>
      <w:szCs w:val="22"/>
    </w:rPr>
  </w:style>
  <w:style w:type="character" w:customStyle="1" w:styleId="SubtitleChar">
    <w:name w:val="Subtitle Char"/>
    <w:basedOn w:val="DefaultParagraphFont"/>
    <w:link w:val="Subtitle"/>
    <w:uiPriority w:val="11"/>
    <w:rsid w:val="0053548B"/>
    <w:rPr>
      <w:rFonts w:eastAsiaTheme="minorEastAsia"/>
      <w:color w:val="262B67" w:themeColor="text2"/>
      <w:spacing w:val="15"/>
      <w:sz w:val="20"/>
      <w:szCs w:val="22"/>
      <w:lang w:val="en-GB"/>
    </w:rPr>
  </w:style>
  <w:style w:type="character" w:styleId="Strong">
    <w:name w:val="Strong"/>
    <w:basedOn w:val="DefaultParagraphFont"/>
    <w:uiPriority w:val="22"/>
    <w:qFormat/>
    <w:rsid w:val="00144F1F"/>
    <w:rPr>
      <w:b/>
      <w:bCs/>
    </w:rPr>
  </w:style>
  <w:style w:type="paragraph" w:styleId="Quote">
    <w:name w:val="Quote"/>
    <w:basedOn w:val="Normal"/>
    <w:next w:val="Normal"/>
    <w:link w:val="QuoteChar"/>
    <w:uiPriority w:val="29"/>
    <w:qFormat/>
    <w:rsid w:val="00144F1F"/>
    <w:pPr>
      <w:ind w:left="284" w:right="284"/>
    </w:pPr>
    <w:rPr>
      <w:i/>
      <w:iCs/>
      <w:color w:val="262B67" w:themeColor="text2"/>
    </w:rPr>
  </w:style>
  <w:style w:type="character" w:customStyle="1" w:styleId="QuoteChar">
    <w:name w:val="Quote Char"/>
    <w:basedOn w:val="DefaultParagraphFont"/>
    <w:link w:val="Quote"/>
    <w:uiPriority w:val="29"/>
    <w:rsid w:val="00144F1F"/>
    <w:rPr>
      <w:i/>
      <w:iCs/>
      <w:color w:val="262B67" w:themeColor="text2"/>
      <w:sz w:val="22"/>
    </w:rPr>
  </w:style>
  <w:style w:type="paragraph" w:styleId="IntenseQuote">
    <w:name w:val="Intense Quote"/>
    <w:basedOn w:val="Normal"/>
    <w:next w:val="Normal"/>
    <w:link w:val="IntenseQuoteChar"/>
    <w:uiPriority w:val="30"/>
    <w:qFormat/>
    <w:rsid w:val="0053548B"/>
    <w:pPr>
      <w:spacing w:before="360" w:after="360"/>
      <w:ind w:left="864" w:right="864"/>
    </w:pPr>
    <w:rPr>
      <w:i/>
      <w:iCs/>
      <w:color w:val="262B67" w:themeColor="text2"/>
    </w:rPr>
  </w:style>
  <w:style w:type="character" w:customStyle="1" w:styleId="IntenseQuoteChar">
    <w:name w:val="Intense Quote Char"/>
    <w:basedOn w:val="DefaultParagraphFont"/>
    <w:link w:val="IntenseQuote"/>
    <w:uiPriority w:val="30"/>
    <w:rsid w:val="0053548B"/>
    <w:rPr>
      <w:i/>
      <w:iCs/>
      <w:color w:val="262B67" w:themeColor="text2"/>
      <w:sz w:val="20"/>
      <w:lang w:val="en-GB"/>
    </w:rPr>
  </w:style>
  <w:style w:type="character" w:styleId="SubtleEmphasis">
    <w:name w:val="Subtle Emphasis"/>
    <w:basedOn w:val="DefaultParagraphFont"/>
    <w:uiPriority w:val="19"/>
    <w:qFormat/>
    <w:rsid w:val="0053548B"/>
    <w:rPr>
      <w:i/>
      <w:iCs/>
      <w:color w:val="262B67" w:themeColor="text2"/>
    </w:rPr>
  </w:style>
  <w:style w:type="character" w:styleId="IntenseEmphasis">
    <w:name w:val="Intense Emphasis"/>
    <w:basedOn w:val="DefaultParagraphFont"/>
    <w:uiPriority w:val="21"/>
    <w:qFormat/>
    <w:rsid w:val="0053548B"/>
    <w:rPr>
      <w:b/>
      <w:i/>
      <w:iCs/>
      <w:color w:val="262B67" w:themeColor="text2"/>
    </w:rPr>
  </w:style>
  <w:style w:type="character" w:styleId="SubtleReference">
    <w:name w:val="Subtle Reference"/>
    <w:basedOn w:val="DefaultParagraphFont"/>
    <w:uiPriority w:val="31"/>
    <w:qFormat/>
    <w:rsid w:val="0053548B"/>
    <w:rPr>
      <w:smallCaps/>
      <w:color w:val="262B67" w:themeColor="text2"/>
    </w:rPr>
  </w:style>
  <w:style w:type="character" w:styleId="IntenseReference">
    <w:name w:val="Intense Reference"/>
    <w:basedOn w:val="DefaultParagraphFont"/>
    <w:uiPriority w:val="32"/>
    <w:qFormat/>
    <w:rsid w:val="0053548B"/>
    <w:rPr>
      <w:b/>
      <w:bCs/>
      <w:smallCaps/>
      <w:color w:val="262B67" w:themeColor="text2"/>
      <w:spacing w:val="5"/>
    </w:rPr>
  </w:style>
  <w:style w:type="table" w:styleId="GridTable4">
    <w:name w:val="Grid Table 4"/>
    <w:aliases w:val="VCGLR 1,VCGLR TABLE 1"/>
    <w:basedOn w:val="TableNormal"/>
    <w:uiPriority w:val="49"/>
    <w:rsid w:val="00FD61A3"/>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insideV w:val="single" w:sz="4" w:space="0" w:color="6897DE" w:themeColor="text1" w:themeTint="99"/>
      </w:tblBorders>
    </w:tblPr>
    <w:tblStylePr w:type="firstRow">
      <w:pPr>
        <w:wordWrap/>
        <w:spacing w:beforeLines="20" w:before="20" w:beforeAutospacing="0" w:afterLines="20" w:after="20" w:afterAutospacing="0" w:line="240" w:lineRule="auto"/>
      </w:pPr>
      <w:rPr>
        <w:b/>
        <w:bCs/>
        <w:color w:val="FFFFFF" w:themeColor="background1"/>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nil"/>
          <w:insideV w:val="nil"/>
        </w:tcBorders>
        <w:shd w:val="clear" w:color="auto" w:fill="2459A9" w:themeFill="text1"/>
      </w:tcPr>
    </w:tblStylePr>
    <w:tblStylePr w:type="lastRow">
      <w:rPr>
        <w:b/>
        <w:bCs/>
      </w:rPr>
      <w:tblPr/>
      <w:tcPr>
        <w:tcBorders>
          <w:top w:val="double" w:sz="4" w:space="0" w:color="2459A9" w:themeColor="text1"/>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paragraph" w:customStyle="1" w:styleId="Tableheader">
    <w:name w:val="Table header"/>
    <w:basedOn w:val="TableHead"/>
    <w:qFormat/>
    <w:rsid w:val="00FD61A3"/>
    <w:pPr>
      <w:spacing w:before="60" w:after="60"/>
    </w:pPr>
    <w:rPr>
      <w:bCs/>
      <w:color w:val="262B67" w:themeColor="text2"/>
    </w:rPr>
  </w:style>
  <w:style w:type="table" w:styleId="PlainTable2">
    <w:name w:val="Plain Table 2"/>
    <w:aliases w:val="VCGLR Document information"/>
    <w:basedOn w:val="TableNormal"/>
    <w:uiPriority w:val="42"/>
    <w:rsid w:val="002F7996"/>
    <w:tblPr>
      <w:tblStyleRowBandSize w:val="1"/>
      <w:tblStyleColBandSize w:val="1"/>
      <w:tbl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blBorders>
    </w:tblPr>
    <w:tcPr>
      <w:shd w:val="clear" w:color="auto" w:fill="auto"/>
      <w:vAlign w:val="center"/>
    </w:tcPr>
    <w:tblStylePr w:type="firstRow">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l2br w:val="nil"/>
          <w:tr2bl w:val="nil"/>
        </w:tcBorders>
        <w:shd w:val="clear" w:color="auto" w:fill="auto"/>
      </w:tcPr>
    </w:tblStylePr>
    <w:tblStylePr w:type="lastRow">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firstCol">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lastCol">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1Vert">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2Vert">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1Horz">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2Horz">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ne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nw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se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sw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style>
  <w:style w:type="table" w:styleId="GridTable4-Accent1">
    <w:name w:val="Grid Table 4 Accent 1"/>
    <w:basedOn w:val="TableNormal"/>
    <w:uiPriority w:val="49"/>
    <w:rsid w:val="00455C47"/>
    <w:rPr>
      <w:lang w:val="en-GB"/>
    </w:rPr>
    <w:tblPr>
      <w:tblStyleRowBandSize w:val="1"/>
      <w:tblStyleColBandSize w:val="1"/>
      <w:tblBorders>
        <w:top w:val="single" w:sz="4" w:space="0" w:color="83D48C" w:themeColor="accent1" w:themeTint="99"/>
        <w:left w:val="single" w:sz="4" w:space="0" w:color="83D48C" w:themeColor="accent1" w:themeTint="99"/>
        <w:bottom w:val="single" w:sz="4" w:space="0" w:color="83D48C" w:themeColor="accent1" w:themeTint="99"/>
        <w:right w:val="single" w:sz="4" w:space="0" w:color="83D48C" w:themeColor="accent1" w:themeTint="99"/>
        <w:insideH w:val="single" w:sz="4" w:space="0" w:color="83D48C" w:themeColor="accent1" w:themeTint="99"/>
        <w:insideV w:val="single" w:sz="4" w:space="0" w:color="83D48C" w:themeColor="accent1" w:themeTint="99"/>
      </w:tblBorders>
    </w:tblPr>
    <w:tblStylePr w:type="firstRow">
      <w:rPr>
        <w:b/>
        <w:bCs/>
        <w:color w:val="FFFFFF" w:themeColor="background1"/>
      </w:rPr>
      <w:tblPr/>
      <w:tcPr>
        <w:tcBorders>
          <w:top w:val="single" w:sz="4" w:space="0" w:color="3CAE49" w:themeColor="accent1"/>
          <w:left w:val="single" w:sz="4" w:space="0" w:color="3CAE49" w:themeColor="accent1"/>
          <w:bottom w:val="single" w:sz="4" w:space="0" w:color="3CAE49" w:themeColor="accent1"/>
          <w:right w:val="single" w:sz="4" w:space="0" w:color="3CAE49" w:themeColor="accent1"/>
          <w:insideH w:val="nil"/>
          <w:insideV w:val="nil"/>
        </w:tcBorders>
        <w:shd w:val="clear" w:color="auto" w:fill="3CAE49" w:themeFill="accent1"/>
      </w:tcPr>
    </w:tblStylePr>
    <w:tblStylePr w:type="lastRow">
      <w:rPr>
        <w:b/>
        <w:bCs/>
      </w:rPr>
      <w:tblPr/>
      <w:tcPr>
        <w:tcBorders>
          <w:top w:val="double" w:sz="4" w:space="0" w:color="3CAE49" w:themeColor="accent1"/>
        </w:tcBorders>
      </w:tcPr>
    </w:tblStylePr>
    <w:tblStylePr w:type="firstCol">
      <w:rPr>
        <w:b/>
        <w:bCs/>
      </w:rPr>
    </w:tblStylePr>
    <w:tblStylePr w:type="lastCol">
      <w:rPr>
        <w:b/>
        <w:bCs/>
      </w:rPr>
    </w:tblStylePr>
    <w:tblStylePr w:type="band1Vert">
      <w:tblPr/>
      <w:tcPr>
        <w:shd w:val="clear" w:color="auto" w:fill="D5F0D8" w:themeFill="accent1" w:themeFillTint="33"/>
      </w:tcPr>
    </w:tblStylePr>
    <w:tblStylePr w:type="band1Horz">
      <w:tblPr/>
      <w:tcPr>
        <w:shd w:val="clear" w:color="auto" w:fill="D5F0D8" w:themeFill="accent1" w:themeFillTint="33"/>
      </w:tcPr>
    </w:tblStylePr>
  </w:style>
  <w:style w:type="table" w:styleId="GridTable5Dark-Accent1">
    <w:name w:val="Grid Table 5 Dark Accent 1"/>
    <w:aliases w:val="VCGLR TABLE 2"/>
    <w:basedOn w:val="TableNormal"/>
    <w:uiPriority w:val="50"/>
    <w:rsid w:val="00455C47"/>
    <w:rPr>
      <w:color w:val="000000"/>
      <w:lang w:val="en-GB"/>
    </w:rPr>
    <w:tblPr>
      <w:tblStyleRowBandSize w:val="1"/>
      <w:tblStyleColBandSize w:val="1"/>
      <w:tbl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AE49" w:themeFill="accent1"/>
      </w:tcPr>
    </w:tblStylePr>
    <w:tblStylePr w:type="lastRow">
      <w:rPr>
        <w:b/>
        <w:bCs/>
        <w:color w:val="FFFFFF" w:themeColor="background1"/>
      </w:rPr>
    </w:tblStylePr>
    <w:tblStylePr w:type="firstCol">
      <w:rPr>
        <w:b/>
        <w:bCs/>
        <w:color w:val="FFFFFF" w:themeColor="background1"/>
      </w:rPr>
    </w:tblStylePr>
    <w:tblStylePr w:type="lastCol">
      <w:rPr>
        <w:b/>
        <w:bCs/>
        <w:color w:val="FFFFFF" w:themeColor="background1"/>
      </w:rPr>
    </w:tblStylePr>
  </w:style>
  <w:style w:type="table" w:styleId="GridTable5Dark-Accent2">
    <w:name w:val="Grid Table 5 Dark Accent 2"/>
    <w:aliases w:val="VCGLR TABLE 3"/>
    <w:basedOn w:val="TableNormal"/>
    <w:uiPriority w:val="50"/>
    <w:rsid w:val="00455C47"/>
    <w:rPr>
      <w:color w:val="000000"/>
      <w:lang w:val="en-GB"/>
    </w:rPr>
    <w:tblPr>
      <w:tblStyleRowBandSize w:val="1"/>
      <w:tblStyleColBandSize w:val="1"/>
      <w:tbl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blBorders>
    </w:tblPr>
    <w:tcPr>
      <w:shd w:val="clear" w:color="auto" w:fill="C4EAFF" w:themeFill="accent2" w:themeFillTint="33"/>
    </w:tcPr>
    <w:tblStylePr w:type="firstRow">
      <w:rPr>
        <w:rFonts w:ascii="Arial" w:hAnsi="Arial"/>
        <w:b/>
        <w:bCs/>
        <w:i w:val="0"/>
        <w:color w:val="FFFFFF" w:themeColor="background1"/>
        <w:sz w:val="24"/>
      </w:rPr>
      <w:tblPr/>
      <w:tcPr>
        <w:tc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cBorders>
        <w:shd w:val="clear" w:color="auto" w:fill="3CAE49" w:themeFill="accent1"/>
      </w:tcPr>
    </w:tblStylePr>
    <w:tblStylePr w:type="lastRow">
      <w:rPr>
        <w:rFonts w:asciiTheme="minorHAnsi" w:hAnsiTheme="minorHAnsi"/>
        <w:b/>
        <w:bCs/>
        <w:color w:val="000000"/>
      </w:rPr>
      <w:tblPr/>
      <w:tcPr>
        <w:tc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cBorders>
        <w:shd w:val="clear" w:color="auto" w:fill="D5F0D8" w:themeFill="accent1" w:themeFillTint="33"/>
      </w:tcPr>
    </w:tblStylePr>
    <w:tblStylePr w:type="firstCol">
      <w:rPr>
        <w:b/>
        <w:bCs/>
        <w:color w:val="000000"/>
      </w:rPr>
    </w:tblStylePr>
    <w:tblStylePr w:type="lastCol">
      <w:rPr>
        <w:b/>
        <w:bCs/>
        <w:color w:val="000000"/>
      </w:rPr>
    </w:tblStylePr>
    <w:tblStylePr w:type="band1Horz">
      <w:tblPr/>
      <w:tcPr>
        <w:shd w:val="clear" w:color="auto" w:fill="D5F0D8" w:themeFill="accent1" w:themeFillTint="33"/>
      </w:tcPr>
    </w:tblStylePr>
    <w:tblStylePr w:type="band2Horz">
      <w:tblPr/>
      <w:tcPr>
        <w:shd w:val="clear" w:color="auto" w:fill="ACE2B2" w:themeFill="accent1" w:themeFillTint="66"/>
      </w:tcPr>
    </w:tblStylePr>
  </w:style>
  <w:style w:type="paragraph" w:customStyle="1" w:styleId="Bulletpoint">
    <w:name w:val="Bullet point"/>
    <w:basedOn w:val="ListParagraph"/>
    <w:qFormat/>
    <w:rsid w:val="00D33211"/>
    <w:pPr>
      <w:numPr>
        <w:numId w:val="12"/>
      </w:numPr>
    </w:pPr>
    <w:rPr>
      <w:sz w:val="24"/>
    </w:rPr>
  </w:style>
  <w:style w:type="paragraph" w:styleId="ListParagraph">
    <w:name w:val="List Paragraph"/>
    <w:basedOn w:val="Normal"/>
    <w:uiPriority w:val="34"/>
    <w:qFormat/>
    <w:rsid w:val="00D33211"/>
    <w:pPr>
      <w:ind w:left="720"/>
      <w:contextualSpacing/>
    </w:pPr>
  </w:style>
  <w:style w:type="numbering" w:customStyle="1" w:styleId="Letter2">
    <w:name w:val="Letter 2"/>
    <w:basedOn w:val="NoList"/>
    <w:uiPriority w:val="99"/>
    <w:rsid w:val="00D33211"/>
    <w:pPr>
      <w:numPr>
        <w:numId w:val="13"/>
      </w:numPr>
    </w:pPr>
  </w:style>
  <w:style w:type="paragraph" w:styleId="FootnoteText">
    <w:name w:val="footnote text"/>
    <w:basedOn w:val="Normal"/>
    <w:link w:val="FootnoteTextChar"/>
    <w:autoRedefine/>
    <w:unhideWhenUsed/>
    <w:qFormat/>
    <w:rsid w:val="00D33211"/>
    <w:pPr>
      <w:spacing w:after="40"/>
    </w:pPr>
    <w:rPr>
      <w:rFonts w:ascii="Arial" w:eastAsiaTheme="minorEastAsia" w:hAnsi="Arial" w:cs="Arial"/>
      <w:sz w:val="16"/>
      <w:szCs w:val="11"/>
      <w:lang w:val="en-US"/>
    </w:rPr>
  </w:style>
  <w:style w:type="character" w:customStyle="1" w:styleId="FootnoteTextChar">
    <w:name w:val="Footnote Text Char"/>
    <w:basedOn w:val="DefaultParagraphFont"/>
    <w:link w:val="FootnoteText"/>
    <w:uiPriority w:val="99"/>
    <w:rsid w:val="00D33211"/>
    <w:rPr>
      <w:rFonts w:ascii="Arial" w:eastAsiaTheme="minorEastAsia" w:hAnsi="Arial" w:cs="Arial"/>
      <w:sz w:val="16"/>
      <w:szCs w:val="11"/>
      <w:lang w:val="en-US"/>
    </w:rPr>
  </w:style>
  <w:style w:type="paragraph" w:customStyle="1" w:styleId="Bulletlistlevel2">
    <w:name w:val="Bullet list level 2"/>
    <w:basedOn w:val="Normal"/>
    <w:qFormat/>
    <w:rsid w:val="004E575F"/>
    <w:pPr>
      <w:numPr>
        <w:ilvl w:val="1"/>
        <w:numId w:val="17"/>
      </w:numPr>
    </w:pPr>
    <w:rPr>
      <w:lang w:val="en-AU"/>
    </w:rPr>
  </w:style>
  <w:style w:type="table" w:styleId="GridTable2">
    <w:name w:val="Grid Table 2"/>
    <w:basedOn w:val="TableNormal"/>
    <w:uiPriority w:val="47"/>
    <w:rsid w:val="00235278"/>
    <w:tblPr>
      <w:tblStyleRowBandSize w:val="1"/>
      <w:tblStyleColBandSize w:val="1"/>
      <w:tblBorders>
        <w:top w:val="single" w:sz="2" w:space="0" w:color="6897DE" w:themeColor="text1" w:themeTint="99"/>
        <w:bottom w:val="single" w:sz="2" w:space="0" w:color="6897DE" w:themeColor="text1" w:themeTint="99"/>
        <w:insideH w:val="single" w:sz="2" w:space="0" w:color="6897DE" w:themeColor="text1" w:themeTint="99"/>
        <w:insideV w:val="single" w:sz="2" w:space="0" w:color="6897DE" w:themeColor="text1" w:themeTint="99"/>
      </w:tblBorders>
    </w:tblPr>
    <w:tblStylePr w:type="firstRow">
      <w:rPr>
        <w:b/>
        <w:bCs/>
      </w:rPr>
      <w:tblPr/>
      <w:tcPr>
        <w:tcBorders>
          <w:top w:val="nil"/>
          <w:bottom w:val="single" w:sz="12" w:space="0" w:color="6897DE" w:themeColor="text1" w:themeTint="99"/>
          <w:insideH w:val="nil"/>
          <w:insideV w:val="nil"/>
        </w:tcBorders>
        <w:shd w:val="clear" w:color="auto" w:fill="FFFFFF" w:themeFill="background1"/>
      </w:tcPr>
    </w:tblStylePr>
    <w:tblStylePr w:type="lastRow">
      <w:rPr>
        <w:b/>
        <w:bCs/>
      </w:rPr>
      <w:tblPr/>
      <w:tcPr>
        <w:tcBorders>
          <w:top w:val="double" w:sz="2" w:space="0" w:color="6897D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GridTable3-Accent5">
    <w:name w:val="Grid Table 3 Accent 5"/>
    <w:basedOn w:val="TableNormal"/>
    <w:uiPriority w:val="48"/>
    <w:rsid w:val="004E575F"/>
    <w:tblPr>
      <w:tblStyleRowBandSize w:val="1"/>
      <w:tblStyleColBandSize w:val="1"/>
      <w:tblBorders>
        <w:top w:val="single" w:sz="4" w:space="0" w:color="1AE7FF" w:themeColor="accent5" w:themeTint="99"/>
        <w:left w:val="single" w:sz="4" w:space="0" w:color="1AE7FF" w:themeColor="accent5" w:themeTint="99"/>
        <w:bottom w:val="single" w:sz="4" w:space="0" w:color="1AE7FF" w:themeColor="accent5" w:themeTint="99"/>
        <w:right w:val="single" w:sz="4" w:space="0" w:color="1AE7FF" w:themeColor="accent5" w:themeTint="99"/>
        <w:insideH w:val="single" w:sz="4" w:space="0" w:color="1AE7FF" w:themeColor="accent5" w:themeTint="99"/>
        <w:insideV w:val="single" w:sz="4" w:space="0" w:color="1AE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7FF" w:themeFill="accent5" w:themeFillTint="33"/>
      </w:tcPr>
    </w:tblStylePr>
    <w:tblStylePr w:type="band1Horz">
      <w:tblPr/>
      <w:tcPr>
        <w:shd w:val="clear" w:color="auto" w:fill="B2F7FF" w:themeFill="accent5" w:themeFillTint="33"/>
      </w:tcPr>
    </w:tblStylePr>
    <w:tblStylePr w:type="neCell">
      <w:tblPr/>
      <w:tcPr>
        <w:tcBorders>
          <w:bottom w:val="single" w:sz="4" w:space="0" w:color="1AE7FF" w:themeColor="accent5" w:themeTint="99"/>
        </w:tcBorders>
      </w:tcPr>
    </w:tblStylePr>
    <w:tblStylePr w:type="nwCell">
      <w:tblPr/>
      <w:tcPr>
        <w:tcBorders>
          <w:bottom w:val="single" w:sz="4" w:space="0" w:color="1AE7FF" w:themeColor="accent5" w:themeTint="99"/>
        </w:tcBorders>
      </w:tcPr>
    </w:tblStylePr>
    <w:tblStylePr w:type="seCell">
      <w:tblPr/>
      <w:tcPr>
        <w:tcBorders>
          <w:top w:val="single" w:sz="4" w:space="0" w:color="1AE7FF" w:themeColor="accent5" w:themeTint="99"/>
        </w:tcBorders>
      </w:tcPr>
    </w:tblStylePr>
    <w:tblStylePr w:type="swCell">
      <w:tblPr/>
      <w:tcPr>
        <w:tcBorders>
          <w:top w:val="single" w:sz="4" w:space="0" w:color="1AE7FF" w:themeColor="accent5" w:themeTint="99"/>
        </w:tcBorders>
      </w:tcPr>
    </w:tblStylePr>
  </w:style>
  <w:style w:type="table" w:styleId="GridTable5Dark">
    <w:name w:val="Grid Table 5 Dark"/>
    <w:aliases w:val="VCGLR Column"/>
    <w:basedOn w:val="TableNormal"/>
    <w:uiPriority w:val="50"/>
    <w:rsid w:val="00FD61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CF4" w:themeFill="text1" w:themeFillTint="33"/>
    </w:tcPr>
    <w:tblStylePr w:type="firstRow">
      <w:pPr>
        <w:wordWrap/>
        <w:spacing w:beforeLines="20" w:before="20" w:beforeAutospacing="0" w:afterLines="20" w:after="20" w:afterAutospacing="0" w:line="240" w:lineRule="auto"/>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59A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59A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59A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59A9" w:themeFill="text1"/>
      </w:tcPr>
    </w:tblStylePr>
    <w:tblStylePr w:type="band1Vert">
      <w:tblPr/>
      <w:tcPr>
        <w:shd w:val="clear" w:color="auto" w:fill="9AB9E9" w:themeFill="text1" w:themeFillTint="66"/>
      </w:tcPr>
    </w:tblStylePr>
    <w:tblStylePr w:type="band1Horz">
      <w:tblPr/>
      <w:tcPr>
        <w:shd w:val="clear" w:color="auto" w:fill="9AB9E9" w:themeFill="text1" w:themeFillTint="66"/>
      </w:tcPr>
    </w:tblStylePr>
  </w:style>
  <w:style w:type="table" w:styleId="GridTable1Light">
    <w:name w:val="Grid Table 1 Light"/>
    <w:aliases w:val="VCGLR 2"/>
    <w:basedOn w:val="TableNormal"/>
    <w:uiPriority w:val="46"/>
    <w:rsid w:val="00FD61A3"/>
    <w:rPr>
      <w:lang w:val="en-GB"/>
    </w:rPr>
    <w:tblPr>
      <w:tblStyleRowBandSize w:val="1"/>
      <w:tblStyleColBandSize w:val="1"/>
      <w:tblBorders>
        <w:top w:val="single" w:sz="4" w:space="0" w:color="9AB9E9" w:themeColor="text1" w:themeTint="66"/>
        <w:left w:val="single" w:sz="4" w:space="0" w:color="9AB9E9" w:themeColor="text1" w:themeTint="66"/>
        <w:bottom w:val="single" w:sz="4" w:space="0" w:color="9AB9E9" w:themeColor="text1" w:themeTint="66"/>
        <w:right w:val="single" w:sz="4" w:space="0" w:color="9AB9E9" w:themeColor="text1" w:themeTint="66"/>
        <w:insideH w:val="single" w:sz="4" w:space="0" w:color="9AB9E9" w:themeColor="text1" w:themeTint="66"/>
        <w:insideV w:val="single" w:sz="4" w:space="0" w:color="9AB9E9" w:themeColor="text1" w:themeTint="66"/>
      </w:tblBorders>
    </w:tblPr>
    <w:tblStylePr w:type="firstRow">
      <w:pPr>
        <w:wordWrap/>
        <w:spacing w:beforeLines="20" w:before="20" w:beforeAutospacing="0" w:afterLines="20" w:after="20" w:afterAutospacing="0" w:line="240" w:lineRule="auto"/>
      </w:pPr>
      <w:rPr>
        <w:b/>
        <w:bCs/>
        <w:color w:val="262B67" w:themeColor="text2"/>
      </w:rPr>
      <w:tblPr/>
      <w:tcPr>
        <w:shd w:val="clear" w:color="auto" w:fill="CCDCF4" w:themeFill="text1" w:themeFillTint="33"/>
      </w:tcPr>
    </w:tblStylePr>
    <w:tblStylePr w:type="lastRow">
      <w:rPr>
        <w:b/>
        <w:bCs/>
      </w:rPr>
      <w:tblPr/>
      <w:tcPr>
        <w:tcBorders>
          <w:top w:val="double" w:sz="2" w:space="0" w:color="6897DE" w:themeColor="text1" w:themeTint="99"/>
        </w:tcBorders>
      </w:tcPr>
    </w:tblStylePr>
    <w:tblStylePr w:type="firstCol">
      <w:rPr>
        <w:b/>
        <w:bCs/>
        <w:color w:val="262B67" w:themeColor="text2"/>
      </w:rPr>
    </w:tblStylePr>
    <w:tblStylePr w:type="lastCol">
      <w:rPr>
        <w:b/>
        <w:bCs/>
      </w:rPr>
    </w:tblStylePr>
  </w:style>
  <w:style w:type="table" w:styleId="TableGrid">
    <w:name w:val="Table Grid"/>
    <w:aliases w:val="VCGLR Table 1"/>
    <w:basedOn w:val="TableNormal"/>
    <w:uiPriority w:val="39"/>
    <w:rsid w:val="00E47F4D"/>
    <w:rPr>
      <w:sz w:val="20"/>
    </w:rPr>
    <w:tblPr>
      <w:tbl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blBorders>
    </w:tblPr>
    <w:tcPr>
      <w:shd w:val="clear" w:color="auto" w:fill="auto"/>
      <w:tcMar>
        <w:top w:w="57" w:type="dxa"/>
        <w:bottom w:w="57" w:type="dxa"/>
      </w:tcMar>
    </w:tcPr>
    <w:tblStylePr w:type="firstRow">
      <w:rPr>
        <w:b/>
        <w:color w:val="FFFFFF" w:themeColor="background1"/>
      </w:rPr>
      <w:tblPr/>
      <w:tcPr>
        <w:shd w:val="clear" w:color="auto" w:fill="2459A9" w:themeFill="text1"/>
      </w:tcPr>
    </w:tblStylePr>
    <w:tblStylePr w:type="firstCol">
      <w:rPr>
        <w:color w:val="2459A9" w:themeColor="text1"/>
      </w:rPr>
    </w:tblStylePr>
  </w:style>
  <w:style w:type="paragraph" w:customStyle="1" w:styleId="NumberedH1">
    <w:name w:val="Numbered H1"/>
    <w:basedOn w:val="Heading1"/>
    <w:qFormat/>
    <w:rsid w:val="004E575F"/>
    <w:pPr>
      <w:numPr>
        <w:numId w:val="20"/>
      </w:numPr>
      <w:spacing w:before="360" w:after="240"/>
      <w:ind w:left="993" w:hanging="993"/>
    </w:pPr>
    <w:rPr>
      <w:sz w:val="48"/>
    </w:rPr>
  </w:style>
  <w:style w:type="paragraph" w:customStyle="1" w:styleId="NumberedH2">
    <w:name w:val="Numbered H2"/>
    <w:basedOn w:val="Heading2"/>
    <w:qFormat/>
    <w:rsid w:val="004E575F"/>
    <w:pPr>
      <w:numPr>
        <w:ilvl w:val="1"/>
        <w:numId w:val="19"/>
      </w:numPr>
      <w:ind w:left="993" w:hanging="993"/>
    </w:pPr>
    <w:rPr>
      <w:lang w:val="en-GB"/>
    </w:rPr>
  </w:style>
  <w:style w:type="paragraph" w:customStyle="1" w:styleId="NumberedH3">
    <w:name w:val="Numbered H3"/>
    <w:basedOn w:val="Heading3"/>
    <w:qFormat/>
    <w:rsid w:val="004E575F"/>
    <w:pPr>
      <w:numPr>
        <w:ilvl w:val="2"/>
        <w:numId w:val="19"/>
      </w:numPr>
      <w:ind w:left="993" w:hanging="993"/>
    </w:pPr>
  </w:style>
  <w:style w:type="paragraph" w:customStyle="1" w:styleId="NumberedH4">
    <w:name w:val="Numbered H4"/>
    <w:basedOn w:val="Heading4"/>
    <w:qFormat/>
    <w:rsid w:val="004E575F"/>
    <w:pPr>
      <w:numPr>
        <w:ilvl w:val="3"/>
        <w:numId w:val="19"/>
      </w:numPr>
      <w:spacing w:before="40"/>
      <w:ind w:left="993" w:hanging="993"/>
    </w:pPr>
    <w:rPr>
      <w:sz w:val="22"/>
    </w:rPr>
  </w:style>
  <w:style w:type="table" w:styleId="GridTable4-Accent2">
    <w:name w:val="Grid Table 4 Accent 2"/>
    <w:basedOn w:val="TableNormal"/>
    <w:uiPriority w:val="49"/>
    <w:rsid w:val="004E575F"/>
    <w:tblPr>
      <w:tblStyleRowBandSize w:val="1"/>
      <w:tblStyleColBandSize w:val="1"/>
      <w:tblBorders>
        <w:top w:val="single" w:sz="4" w:space="0" w:color="4FC3FF" w:themeColor="accent2" w:themeTint="99"/>
        <w:left w:val="single" w:sz="4" w:space="0" w:color="4FC3FF" w:themeColor="accent2" w:themeTint="99"/>
        <w:bottom w:val="single" w:sz="4" w:space="0" w:color="4FC3FF" w:themeColor="accent2" w:themeTint="99"/>
        <w:right w:val="single" w:sz="4" w:space="0" w:color="4FC3FF" w:themeColor="accent2" w:themeTint="99"/>
        <w:insideH w:val="single" w:sz="4" w:space="0" w:color="4FC3FF" w:themeColor="accent2" w:themeTint="99"/>
        <w:insideV w:val="single" w:sz="4" w:space="0" w:color="4FC3FF" w:themeColor="accent2" w:themeTint="99"/>
      </w:tblBorders>
    </w:tblPr>
    <w:tblStylePr w:type="firstRow">
      <w:rPr>
        <w:b/>
        <w:bCs/>
        <w:color w:val="FFFFFF" w:themeColor="background1"/>
      </w:rPr>
      <w:tblPr/>
      <w:tcPr>
        <w:tcBorders>
          <w:top w:val="single" w:sz="4" w:space="0" w:color="0090DA" w:themeColor="accent2"/>
          <w:left w:val="single" w:sz="4" w:space="0" w:color="0090DA" w:themeColor="accent2"/>
          <w:bottom w:val="single" w:sz="4" w:space="0" w:color="0090DA" w:themeColor="accent2"/>
          <w:right w:val="single" w:sz="4" w:space="0" w:color="0090DA" w:themeColor="accent2"/>
          <w:insideH w:val="nil"/>
          <w:insideV w:val="nil"/>
        </w:tcBorders>
        <w:shd w:val="clear" w:color="auto" w:fill="0090DA" w:themeFill="accent2"/>
      </w:tcPr>
    </w:tblStylePr>
    <w:tblStylePr w:type="lastRow">
      <w:rPr>
        <w:b/>
        <w:bCs/>
      </w:rPr>
      <w:tblPr/>
      <w:tcPr>
        <w:tcBorders>
          <w:top w:val="double" w:sz="4" w:space="0" w:color="0090DA" w:themeColor="accent2"/>
        </w:tcBorders>
      </w:tcPr>
    </w:tblStylePr>
    <w:tblStylePr w:type="firstCol">
      <w:rPr>
        <w:b/>
        <w:bCs/>
      </w:rPr>
    </w:tblStylePr>
    <w:tblStylePr w:type="lastCol">
      <w:rPr>
        <w:b/>
        <w:bCs/>
      </w:rPr>
    </w:tblStylePr>
    <w:tblStylePr w:type="band1Vert">
      <w:tblPr/>
      <w:tcPr>
        <w:shd w:val="clear" w:color="auto" w:fill="C4EAFF" w:themeFill="accent2" w:themeFillTint="33"/>
      </w:tcPr>
    </w:tblStylePr>
    <w:tblStylePr w:type="band1Horz">
      <w:tblPr/>
      <w:tcPr>
        <w:shd w:val="clear" w:color="auto" w:fill="C4EAFF" w:themeFill="accent2" w:themeFillTint="33"/>
      </w:tcPr>
    </w:tblStylePr>
  </w:style>
  <w:style w:type="table" w:styleId="ListTable1Light">
    <w:name w:val="List Table 1 Light"/>
    <w:basedOn w:val="TableNormal"/>
    <w:uiPriority w:val="46"/>
    <w:rsid w:val="004E575F"/>
    <w:tblPr>
      <w:tblStyleRowBandSize w:val="1"/>
      <w:tblStyleColBandSize w:val="1"/>
    </w:tblPr>
    <w:tblStylePr w:type="firstRow">
      <w:rPr>
        <w:b/>
        <w:bCs/>
      </w:rPr>
      <w:tblPr/>
      <w:tcPr>
        <w:tcBorders>
          <w:bottom w:val="single" w:sz="4" w:space="0" w:color="6897DE" w:themeColor="text1" w:themeTint="99"/>
        </w:tcBorders>
      </w:tcPr>
    </w:tblStylePr>
    <w:tblStylePr w:type="lastRow">
      <w:rPr>
        <w:b/>
        <w:bCs/>
      </w:rPr>
      <w:tblPr/>
      <w:tcPr>
        <w:tcBorders>
          <w:top w:val="single" w:sz="4" w:space="0" w:color="6897DE" w:themeColor="text1" w:themeTint="99"/>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ListTable7Colorful">
    <w:name w:val="List Table 7 Colorful"/>
    <w:basedOn w:val="TableNormal"/>
    <w:uiPriority w:val="52"/>
    <w:rsid w:val="004E575F"/>
    <w:rPr>
      <w:color w:val="2459A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59A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59A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59A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59A9" w:themeColor="text1"/>
        </w:tcBorders>
        <w:shd w:val="clear" w:color="auto" w:fill="FFFFFF" w:themeFill="background1"/>
      </w:tcPr>
    </w:tblStylePr>
    <w:tblStylePr w:type="band1Vert">
      <w:tblPr/>
      <w:tcPr>
        <w:shd w:val="clear" w:color="auto" w:fill="CCDCF4" w:themeFill="text1" w:themeFillTint="33"/>
      </w:tcPr>
    </w:tblStylePr>
    <w:tblStylePr w:type="band1Horz">
      <w:tblPr/>
      <w:tcPr>
        <w:shd w:val="clear" w:color="auto" w:fill="CCDCF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listlegallevel2">
    <w:name w:val="Number list legal level 2"/>
    <w:basedOn w:val="ListParagraph"/>
    <w:qFormat/>
    <w:rsid w:val="00444171"/>
    <w:pPr>
      <w:numPr>
        <w:ilvl w:val="1"/>
        <w:numId w:val="21"/>
      </w:numPr>
      <w:ind w:left="788" w:hanging="431"/>
      <w:contextualSpacing w:val="0"/>
    </w:pPr>
  </w:style>
  <w:style w:type="paragraph" w:customStyle="1" w:styleId="Numberlistlegallevel3">
    <w:name w:val="Number list legal level 3"/>
    <w:basedOn w:val="ListParagraph"/>
    <w:qFormat/>
    <w:rsid w:val="0053548B"/>
    <w:pPr>
      <w:numPr>
        <w:ilvl w:val="2"/>
        <w:numId w:val="21"/>
      </w:numPr>
      <w:ind w:left="1225" w:hanging="505"/>
      <w:contextualSpacing w:val="0"/>
    </w:pPr>
    <w:rPr>
      <w:lang w:val="en-AU"/>
    </w:rPr>
  </w:style>
  <w:style w:type="table" w:styleId="GridTable1Light-Accent1">
    <w:name w:val="Grid Table 1 Light Accent 1"/>
    <w:basedOn w:val="TableNormal"/>
    <w:uiPriority w:val="46"/>
    <w:rsid w:val="00E47F4D"/>
    <w:tblPr>
      <w:tblStyleRowBandSize w:val="1"/>
      <w:tblStyleColBandSize w:val="1"/>
      <w:tblBorders>
        <w:top w:val="single" w:sz="4" w:space="0" w:color="ACE2B2" w:themeColor="accent1" w:themeTint="66"/>
        <w:left w:val="single" w:sz="4" w:space="0" w:color="ACE2B2" w:themeColor="accent1" w:themeTint="66"/>
        <w:bottom w:val="single" w:sz="4" w:space="0" w:color="ACE2B2" w:themeColor="accent1" w:themeTint="66"/>
        <w:right w:val="single" w:sz="4" w:space="0" w:color="ACE2B2" w:themeColor="accent1" w:themeTint="66"/>
        <w:insideH w:val="single" w:sz="4" w:space="0" w:color="ACE2B2" w:themeColor="accent1" w:themeTint="66"/>
        <w:insideV w:val="single" w:sz="4" w:space="0" w:color="ACE2B2" w:themeColor="accent1" w:themeTint="66"/>
      </w:tblBorders>
    </w:tblPr>
    <w:tblStylePr w:type="firstRow">
      <w:rPr>
        <w:b/>
        <w:bCs/>
      </w:rPr>
      <w:tblPr/>
      <w:tcPr>
        <w:tcBorders>
          <w:bottom w:val="single" w:sz="12" w:space="0" w:color="83D48C" w:themeColor="accent1" w:themeTint="99"/>
        </w:tcBorders>
      </w:tcPr>
    </w:tblStylePr>
    <w:tblStylePr w:type="lastRow">
      <w:rPr>
        <w:b/>
        <w:bCs/>
      </w:rPr>
      <w:tblPr/>
      <w:tcPr>
        <w:tcBorders>
          <w:top w:val="double" w:sz="2" w:space="0" w:color="83D48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7F4D"/>
    <w:tblPr>
      <w:tblStyleRowBandSize w:val="1"/>
      <w:tblStyleColBandSize w:val="1"/>
      <w:tblBorders>
        <w:top w:val="single" w:sz="4" w:space="0" w:color="F5B8B0" w:themeColor="accent3" w:themeTint="66"/>
        <w:left w:val="single" w:sz="4" w:space="0" w:color="F5B8B0" w:themeColor="accent3" w:themeTint="66"/>
        <w:bottom w:val="single" w:sz="4" w:space="0" w:color="F5B8B0" w:themeColor="accent3" w:themeTint="66"/>
        <w:right w:val="single" w:sz="4" w:space="0" w:color="F5B8B0" w:themeColor="accent3" w:themeTint="66"/>
        <w:insideH w:val="single" w:sz="4" w:space="0" w:color="F5B8B0" w:themeColor="accent3" w:themeTint="66"/>
        <w:insideV w:val="single" w:sz="4" w:space="0" w:color="F5B8B0" w:themeColor="accent3" w:themeTint="66"/>
      </w:tblBorders>
    </w:tblPr>
    <w:tblStylePr w:type="firstRow">
      <w:rPr>
        <w:b/>
        <w:bCs/>
      </w:rPr>
      <w:tblPr/>
      <w:tcPr>
        <w:tcBorders>
          <w:bottom w:val="single" w:sz="12" w:space="0" w:color="F09489" w:themeColor="accent3" w:themeTint="99"/>
        </w:tcBorders>
      </w:tcPr>
    </w:tblStylePr>
    <w:tblStylePr w:type="lastRow">
      <w:rPr>
        <w:b/>
        <w:bCs/>
      </w:rPr>
      <w:tblPr/>
      <w:tcPr>
        <w:tcBorders>
          <w:top w:val="double" w:sz="2" w:space="0" w:color="F0948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7F4D"/>
    <w:tblPr>
      <w:tblStyleRowBandSize w:val="1"/>
      <w:tblStyleColBandSize w:val="1"/>
      <w:tblBorders>
        <w:top w:val="single" w:sz="4" w:space="0" w:color="C2AFD7" w:themeColor="accent4" w:themeTint="66"/>
        <w:left w:val="single" w:sz="4" w:space="0" w:color="C2AFD7" w:themeColor="accent4" w:themeTint="66"/>
        <w:bottom w:val="single" w:sz="4" w:space="0" w:color="C2AFD7" w:themeColor="accent4" w:themeTint="66"/>
        <w:right w:val="single" w:sz="4" w:space="0" w:color="C2AFD7" w:themeColor="accent4" w:themeTint="66"/>
        <w:insideH w:val="single" w:sz="4" w:space="0" w:color="C2AFD7" w:themeColor="accent4" w:themeTint="66"/>
        <w:insideV w:val="single" w:sz="4" w:space="0" w:color="C2AFD7" w:themeColor="accent4" w:themeTint="66"/>
      </w:tblBorders>
    </w:tblPr>
    <w:tblStylePr w:type="firstRow">
      <w:rPr>
        <w:b/>
        <w:bCs/>
      </w:rPr>
      <w:tblPr/>
      <w:tcPr>
        <w:tcBorders>
          <w:bottom w:val="single" w:sz="12" w:space="0" w:color="A387C3" w:themeColor="accent4" w:themeTint="99"/>
        </w:tcBorders>
      </w:tcPr>
    </w:tblStylePr>
    <w:tblStylePr w:type="lastRow">
      <w:rPr>
        <w:b/>
        <w:bCs/>
      </w:rPr>
      <w:tblPr/>
      <w:tcPr>
        <w:tcBorders>
          <w:top w:val="double" w:sz="2" w:space="0" w:color="A387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7F4D"/>
    <w:tblPr>
      <w:tblStyleRowBandSize w:val="1"/>
      <w:tblStyleColBandSize w:val="1"/>
      <w:tblBorders>
        <w:top w:val="single" w:sz="4" w:space="0" w:color="66EFFF" w:themeColor="accent5" w:themeTint="66"/>
        <w:left w:val="single" w:sz="4" w:space="0" w:color="66EFFF" w:themeColor="accent5" w:themeTint="66"/>
        <w:bottom w:val="single" w:sz="4" w:space="0" w:color="66EFFF" w:themeColor="accent5" w:themeTint="66"/>
        <w:right w:val="single" w:sz="4" w:space="0" w:color="66EFFF" w:themeColor="accent5" w:themeTint="66"/>
        <w:insideH w:val="single" w:sz="4" w:space="0" w:color="66EFFF" w:themeColor="accent5" w:themeTint="66"/>
        <w:insideV w:val="single" w:sz="4" w:space="0" w:color="66EFFF" w:themeColor="accent5" w:themeTint="66"/>
      </w:tblBorders>
    </w:tblPr>
    <w:tblStylePr w:type="firstRow">
      <w:rPr>
        <w:b/>
        <w:bCs/>
      </w:rPr>
      <w:tblPr/>
      <w:tcPr>
        <w:tcBorders>
          <w:bottom w:val="single" w:sz="12" w:space="0" w:color="1AE7FF" w:themeColor="accent5" w:themeTint="99"/>
        </w:tcBorders>
      </w:tcPr>
    </w:tblStylePr>
    <w:tblStylePr w:type="lastRow">
      <w:rPr>
        <w:b/>
        <w:bCs/>
      </w:rPr>
      <w:tblPr/>
      <w:tcPr>
        <w:tcBorders>
          <w:top w:val="double" w:sz="2" w:space="0" w:color="1AE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7F4D"/>
    <w:tblPr>
      <w:tblStyleRowBandSize w:val="1"/>
      <w:tblStyleColBandSize w:val="1"/>
      <w:tblBorders>
        <w:top w:val="single" w:sz="4" w:space="0" w:color="C26EF1" w:themeColor="accent6" w:themeTint="66"/>
        <w:left w:val="single" w:sz="4" w:space="0" w:color="C26EF1" w:themeColor="accent6" w:themeTint="66"/>
        <w:bottom w:val="single" w:sz="4" w:space="0" w:color="C26EF1" w:themeColor="accent6" w:themeTint="66"/>
        <w:right w:val="single" w:sz="4" w:space="0" w:color="C26EF1" w:themeColor="accent6" w:themeTint="66"/>
        <w:insideH w:val="single" w:sz="4" w:space="0" w:color="C26EF1" w:themeColor="accent6" w:themeTint="66"/>
        <w:insideV w:val="single" w:sz="4" w:space="0" w:color="C26EF1" w:themeColor="accent6" w:themeTint="66"/>
      </w:tblBorders>
    </w:tblPr>
    <w:tblStylePr w:type="firstRow">
      <w:rPr>
        <w:b/>
        <w:bCs/>
      </w:rPr>
      <w:tblPr/>
      <w:tcPr>
        <w:tcBorders>
          <w:bottom w:val="single" w:sz="12" w:space="0" w:color="A426EA" w:themeColor="accent6" w:themeTint="99"/>
        </w:tcBorders>
      </w:tcPr>
    </w:tblStylePr>
    <w:tblStylePr w:type="lastRow">
      <w:rPr>
        <w:b/>
        <w:bCs/>
      </w:rPr>
      <w:tblPr/>
      <w:tcPr>
        <w:tcBorders>
          <w:top w:val="double" w:sz="2" w:space="0" w:color="A426EA" w:themeColor="accent6"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E47F4D"/>
    <w:tblPr>
      <w:tblStyleRowBandSize w:val="1"/>
      <w:tblStyleColBandSize w:val="1"/>
      <w:tblBorders>
        <w:top w:val="single" w:sz="2" w:space="0" w:color="A387C3" w:themeColor="accent4" w:themeTint="99"/>
        <w:bottom w:val="single" w:sz="2" w:space="0" w:color="A387C3" w:themeColor="accent4" w:themeTint="99"/>
        <w:insideH w:val="single" w:sz="2" w:space="0" w:color="A387C3" w:themeColor="accent4" w:themeTint="99"/>
        <w:insideV w:val="single" w:sz="2" w:space="0" w:color="A387C3" w:themeColor="accent4" w:themeTint="99"/>
      </w:tblBorders>
    </w:tblPr>
    <w:tblStylePr w:type="firstRow">
      <w:rPr>
        <w:b/>
        <w:bCs/>
      </w:rPr>
      <w:tblPr/>
      <w:tcPr>
        <w:tcBorders>
          <w:top w:val="nil"/>
          <w:bottom w:val="single" w:sz="12" w:space="0" w:color="A387C3" w:themeColor="accent4" w:themeTint="99"/>
          <w:insideH w:val="nil"/>
          <w:insideV w:val="nil"/>
        </w:tcBorders>
        <w:shd w:val="clear" w:color="auto" w:fill="FFFFFF" w:themeFill="background1"/>
      </w:tcPr>
    </w:tblStylePr>
    <w:tblStylePr w:type="lastRow">
      <w:rPr>
        <w:b/>
        <w:bCs/>
      </w:rPr>
      <w:tblPr/>
      <w:tcPr>
        <w:tcBorders>
          <w:top w:val="double" w:sz="2" w:space="0" w:color="A387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7EB" w:themeFill="accent4" w:themeFillTint="33"/>
      </w:tcPr>
    </w:tblStylePr>
    <w:tblStylePr w:type="band1Horz">
      <w:tblPr/>
      <w:tcPr>
        <w:shd w:val="clear" w:color="auto" w:fill="E0D7EB" w:themeFill="accent4" w:themeFillTint="33"/>
      </w:tcPr>
    </w:tblStylePr>
  </w:style>
  <w:style w:type="table" w:styleId="GridTable3-Accent4">
    <w:name w:val="Grid Table 3 Accent 4"/>
    <w:basedOn w:val="TableNormal"/>
    <w:uiPriority w:val="48"/>
    <w:rsid w:val="00E47F4D"/>
    <w:tblPr>
      <w:tblStyleRowBandSize w:val="1"/>
      <w:tblStyleColBandSize w:val="1"/>
      <w:tblBorders>
        <w:top w:val="single" w:sz="4" w:space="0" w:color="A387C3" w:themeColor="accent4" w:themeTint="99"/>
        <w:left w:val="single" w:sz="4" w:space="0" w:color="A387C3" w:themeColor="accent4" w:themeTint="99"/>
        <w:bottom w:val="single" w:sz="4" w:space="0" w:color="A387C3" w:themeColor="accent4" w:themeTint="99"/>
        <w:right w:val="single" w:sz="4" w:space="0" w:color="A387C3" w:themeColor="accent4" w:themeTint="99"/>
        <w:insideH w:val="single" w:sz="4" w:space="0" w:color="A387C3" w:themeColor="accent4" w:themeTint="99"/>
        <w:insideV w:val="single" w:sz="4" w:space="0" w:color="A387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7EB" w:themeFill="accent4" w:themeFillTint="33"/>
      </w:tcPr>
    </w:tblStylePr>
    <w:tblStylePr w:type="band1Horz">
      <w:tblPr/>
      <w:tcPr>
        <w:shd w:val="clear" w:color="auto" w:fill="E0D7EB" w:themeFill="accent4" w:themeFillTint="33"/>
      </w:tcPr>
    </w:tblStylePr>
    <w:tblStylePr w:type="neCell">
      <w:tblPr/>
      <w:tcPr>
        <w:tcBorders>
          <w:bottom w:val="single" w:sz="4" w:space="0" w:color="A387C3" w:themeColor="accent4" w:themeTint="99"/>
        </w:tcBorders>
      </w:tcPr>
    </w:tblStylePr>
    <w:tblStylePr w:type="nwCell">
      <w:tblPr/>
      <w:tcPr>
        <w:tcBorders>
          <w:bottom w:val="single" w:sz="4" w:space="0" w:color="A387C3" w:themeColor="accent4" w:themeTint="99"/>
        </w:tcBorders>
      </w:tcPr>
    </w:tblStylePr>
    <w:tblStylePr w:type="seCell">
      <w:tblPr/>
      <w:tcPr>
        <w:tcBorders>
          <w:top w:val="single" w:sz="4" w:space="0" w:color="A387C3" w:themeColor="accent4" w:themeTint="99"/>
        </w:tcBorders>
      </w:tcPr>
    </w:tblStylePr>
    <w:tblStylePr w:type="swCell">
      <w:tblPr/>
      <w:tcPr>
        <w:tcBorders>
          <w:top w:val="single" w:sz="4" w:space="0" w:color="A387C3" w:themeColor="accent4" w:themeTint="99"/>
        </w:tcBorders>
      </w:tcPr>
    </w:tblStylePr>
  </w:style>
  <w:style w:type="table" w:styleId="GridTable4-Accent4">
    <w:name w:val="Grid Table 4 Accent 4"/>
    <w:aliases w:val="VCGLR 4"/>
    <w:basedOn w:val="TableNormal"/>
    <w:uiPriority w:val="49"/>
    <w:rsid w:val="00FD61A3"/>
    <w:pPr>
      <w:spacing w:before="20" w:after="20"/>
    </w:pPr>
    <w:tblPr>
      <w:tblStyleRowBandSize w:val="1"/>
      <w:tblStyleColBandSize w:val="1"/>
      <w:tblBorders>
        <w:top w:val="single" w:sz="4" w:space="0" w:color="A387C3" w:themeColor="accent4" w:themeTint="99"/>
        <w:left w:val="single" w:sz="4" w:space="0" w:color="A387C3" w:themeColor="accent4" w:themeTint="99"/>
        <w:bottom w:val="single" w:sz="4" w:space="0" w:color="A387C3" w:themeColor="accent4" w:themeTint="99"/>
        <w:right w:val="single" w:sz="4" w:space="0" w:color="A387C3" w:themeColor="accent4" w:themeTint="99"/>
        <w:insideH w:val="single" w:sz="4" w:space="0" w:color="A387C3" w:themeColor="accent4" w:themeTint="99"/>
        <w:insideV w:val="single" w:sz="4" w:space="0" w:color="A387C3" w:themeColor="accent4" w:themeTint="99"/>
      </w:tblBorders>
    </w:tblPr>
    <w:tblStylePr w:type="firstRow">
      <w:rPr>
        <w:b/>
        <w:bCs/>
        <w:color w:val="FFFFFF" w:themeColor="background1"/>
      </w:rPr>
      <w:tblPr/>
      <w:tcPr>
        <w:tcBorders>
          <w:top w:val="single" w:sz="4" w:space="0" w:color="68478D" w:themeColor="accent4"/>
          <w:left w:val="single" w:sz="4" w:space="0" w:color="68478D" w:themeColor="accent4"/>
          <w:bottom w:val="single" w:sz="4" w:space="0" w:color="68478D" w:themeColor="accent4"/>
          <w:right w:val="single" w:sz="4" w:space="0" w:color="68478D" w:themeColor="accent4"/>
          <w:insideH w:val="nil"/>
          <w:insideV w:val="nil"/>
        </w:tcBorders>
        <w:shd w:val="clear" w:color="auto" w:fill="68478D" w:themeFill="accent4"/>
      </w:tcPr>
    </w:tblStylePr>
    <w:tblStylePr w:type="lastRow">
      <w:rPr>
        <w:b/>
        <w:bCs/>
      </w:rPr>
      <w:tblPr/>
      <w:tcPr>
        <w:tcBorders>
          <w:top w:val="double" w:sz="4" w:space="0" w:color="68478D" w:themeColor="accent4"/>
        </w:tcBorders>
      </w:tcPr>
    </w:tblStylePr>
    <w:tblStylePr w:type="firstCol">
      <w:rPr>
        <w:b/>
        <w:bCs/>
      </w:rPr>
    </w:tblStylePr>
    <w:tblStylePr w:type="lastCol">
      <w:rPr>
        <w:b/>
        <w:bCs/>
      </w:rPr>
    </w:tblStylePr>
    <w:tblStylePr w:type="band1Vert">
      <w:tblPr/>
      <w:tcPr>
        <w:shd w:val="clear" w:color="auto" w:fill="E0D7EB" w:themeFill="accent4" w:themeFillTint="33"/>
      </w:tcPr>
    </w:tblStylePr>
    <w:tblStylePr w:type="band1Horz">
      <w:tblPr/>
      <w:tcPr>
        <w:shd w:val="clear" w:color="auto" w:fill="E0D7EB" w:themeFill="accent4" w:themeFillTint="33"/>
      </w:tcPr>
    </w:tblStylePr>
  </w:style>
  <w:style w:type="table" w:styleId="GridTable4-Accent3">
    <w:name w:val="Grid Table 4 Accent 3"/>
    <w:basedOn w:val="TableNormal"/>
    <w:uiPriority w:val="49"/>
    <w:rsid w:val="00E47F4D"/>
    <w:tblPr>
      <w:tblStyleRowBandSize w:val="1"/>
      <w:tblStyleColBandSize w:val="1"/>
      <w:tblBorders>
        <w:top w:val="single" w:sz="4" w:space="0" w:color="F09489" w:themeColor="accent3" w:themeTint="99"/>
        <w:left w:val="single" w:sz="4" w:space="0" w:color="F09489" w:themeColor="accent3" w:themeTint="99"/>
        <w:bottom w:val="single" w:sz="4" w:space="0" w:color="F09489" w:themeColor="accent3" w:themeTint="99"/>
        <w:right w:val="single" w:sz="4" w:space="0" w:color="F09489" w:themeColor="accent3" w:themeTint="99"/>
        <w:insideH w:val="single" w:sz="4" w:space="0" w:color="F09489" w:themeColor="accent3" w:themeTint="99"/>
        <w:insideV w:val="single" w:sz="4" w:space="0" w:color="F09489" w:themeColor="accent3" w:themeTint="99"/>
      </w:tblBorders>
    </w:tblPr>
    <w:tblStylePr w:type="firstRow">
      <w:rPr>
        <w:b/>
        <w:bCs/>
        <w:color w:val="FFFFFF" w:themeColor="background1"/>
      </w:rPr>
      <w:tblPr/>
      <w:tcPr>
        <w:tcBorders>
          <w:top w:val="single" w:sz="4" w:space="0" w:color="E74F3C" w:themeColor="accent3"/>
          <w:left w:val="single" w:sz="4" w:space="0" w:color="E74F3C" w:themeColor="accent3"/>
          <w:bottom w:val="single" w:sz="4" w:space="0" w:color="E74F3C" w:themeColor="accent3"/>
          <w:right w:val="single" w:sz="4" w:space="0" w:color="E74F3C" w:themeColor="accent3"/>
          <w:insideH w:val="nil"/>
          <w:insideV w:val="nil"/>
        </w:tcBorders>
        <w:shd w:val="clear" w:color="auto" w:fill="E74F3C" w:themeFill="accent3"/>
      </w:tcPr>
    </w:tblStylePr>
    <w:tblStylePr w:type="lastRow">
      <w:rPr>
        <w:b/>
        <w:bCs/>
      </w:rPr>
      <w:tblPr/>
      <w:tcPr>
        <w:tcBorders>
          <w:top w:val="double" w:sz="4" w:space="0" w:color="E74F3C" w:themeColor="accent3"/>
        </w:tcBorders>
      </w:tcPr>
    </w:tblStylePr>
    <w:tblStylePr w:type="firstCol">
      <w:rPr>
        <w:b/>
        <w:bCs/>
      </w:rPr>
    </w:tblStylePr>
    <w:tblStylePr w:type="lastCol">
      <w:rPr>
        <w:b/>
        <w:bCs/>
      </w:rPr>
    </w:tblStylePr>
    <w:tblStylePr w:type="band1Vert">
      <w:tblPr/>
      <w:tcPr>
        <w:shd w:val="clear" w:color="auto" w:fill="FADBD7" w:themeFill="accent3" w:themeFillTint="33"/>
      </w:tcPr>
    </w:tblStylePr>
    <w:tblStylePr w:type="band1Horz">
      <w:tblPr/>
      <w:tcPr>
        <w:shd w:val="clear" w:color="auto" w:fill="FADBD7" w:themeFill="accent3" w:themeFillTint="33"/>
      </w:tcPr>
    </w:tblStylePr>
  </w:style>
  <w:style w:type="table" w:styleId="GridTable6Colorful">
    <w:name w:val="Grid Table 6 Colorful"/>
    <w:basedOn w:val="TableNormal"/>
    <w:uiPriority w:val="51"/>
    <w:rsid w:val="00E47F4D"/>
    <w:rPr>
      <w:color w:val="2459A9" w:themeColor="text1"/>
    </w:rPr>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insideV w:val="single" w:sz="4" w:space="0" w:color="6897DE" w:themeColor="text1" w:themeTint="99"/>
      </w:tblBorders>
    </w:tblPr>
    <w:tblStylePr w:type="firstRow">
      <w:rPr>
        <w:b/>
        <w:bCs/>
      </w:rPr>
      <w:tblPr/>
      <w:tcPr>
        <w:tcBorders>
          <w:bottom w:val="single" w:sz="12" w:space="0" w:color="6897DE" w:themeColor="text1" w:themeTint="99"/>
        </w:tcBorders>
      </w:tcPr>
    </w:tblStylePr>
    <w:tblStylePr w:type="lastRow">
      <w:rPr>
        <w:b/>
        <w:bCs/>
      </w:rPr>
      <w:tblPr/>
      <w:tcPr>
        <w:tcBorders>
          <w:top w:val="double" w:sz="4" w:space="0" w:color="6897DE" w:themeColor="text1" w:themeTint="99"/>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ListTable4">
    <w:name w:val="List Table 4"/>
    <w:basedOn w:val="TableNormal"/>
    <w:uiPriority w:val="49"/>
    <w:rsid w:val="00E47F4D"/>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tblBorders>
    </w:tblPr>
    <w:tblStylePr w:type="firstRow">
      <w:rPr>
        <w:b/>
        <w:bCs/>
        <w:color w:val="FFFFFF" w:themeColor="background1"/>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nil"/>
        </w:tcBorders>
        <w:shd w:val="clear" w:color="auto" w:fill="2459A9" w:themeFill="text1"/>
      </w:tcPr>
    </w:tblStylePr>
    <w:tblStylePr w:type="lastRow">
      <w:rPr>
        <w:b/>
        <w:bCs/>
      </w:rPr>
      <w:tblPr/>
      <w:tcPr>
        <w:tcBorders>
          <w:top w:val="double" w:sz="4" w:space="0" w:color="6897DE" w:themeColor="text1" w:themeTint="99"/>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GridTable2-Accent1">
    <w:name w:val="Grid Table 2 Accent 1"/>
    <w:basedOn w:val="TableNormal"/>
    <w:uiPriority w:val="47"/>
    <w:rsid w:val="00235278"/>
    <w:tblPr>
      <w:tblStyleRowBandSize w:val="1"/>
      <w:tblStyleColBandSize w:val="1"/>
      <w:tblBorders>
        <w:top w:val="single" w:sz="2" w:space="0" w:color="83D48C" w:themeColor="accent1" w:themeTint="99"/>
        <w:bottom w:val="single" w:sz="2" w:space="0" w:color="83D48C" w:themeColor="accent1" w:themeTint="99"/>
        <w:insideH w:val="single" w:sz="2" w:space="0" w:color="83D48C" w:themeColor="accent1" w:themeTint="99"/>
        <w:insideV w:val="single" w:sz="2" w:space="0" w:color="83D48C" w:themeColor="accent1" w:themeTint="99"/>
      </w:tblBorders>
    </w:tblPr>
    <w:tblStylePr w:type="firstRow">
      <w:rPr>
        <w:b/>
        <w:bCs/>
      </w:rPr>
      <w:tblPr/>
      <w:tcPr>
        <w:tcBorders>
          <w:top w:val="nil"/>
          <w:bottom w:val="single" w:sz="12" w:space="0" w:color="83D48C" w:themeColor="accent1" w:themeTint="99"/>
          <w:insideH w:val="nil"/>
          <w:insideV w:val="nil"/>
        </w:tcBorders>
        <w:shd w:val="clear" w:color="auto" w:fill="FFFFFF" w:themeFill="background1"/>
      </w:tcPr>
    </w:tblStylePr>
    <w:tblStylePr w:type="lastRow">
      <w:rPr>
        <w:b/>
        <w:bCs/>
      </w:rPr>
      <w:tblPr/>
      <w:tcPr>
        <w:tcBorders>
          <w:top w:val="double" w:sz="2" w:space="0" w:color="83D48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0D8" w:themeFill="accent1" w:themeFillTint="33"/>
      </w:tcPr>
    </w:tblStylePr>
    <w:tblStylePr w:type="band1Horz">
      <w:tblPr/>
      <w:tcPr>
        <w:shd w:val="clear" w:color="auto" w:fill="D5F0D8" w:themeFill="accent1" w:themeFillTint="33"/>
      </w:tcPr>
    </w:tblStylePr>
  </w:style>
  <w:style w:type="table" w:styleId="GridTable2-Accent2">
    <w:name w:val="Grid Table 2 Accent 2"/>
    <w:basedOn w:val="TableNormal"/>
    <w:uiPriority w:val="47"/>
    <w:rsid w:val="00235278"/>
    <w:tblPr>
      <w:tblStyleRowBandSize w:val="1"/>
      <w:tblStyleColBandSize w:val="1"/>
      <w:tblBorders>
        <w:top w:val="single" w:sz="2" w:space="0" w:color="4FC3FF" w:themeColor="accent2" w:themeTint="99"/>
        <w:bottom w:val="single" w:sz="2" w:space="0" w:color="4FC3FF" w:themeColor="accent2" w:themeTint="99"/>
        <w:insideH w:val="single" w:sz="2" w:space="0" w:color="4FC3FF" w:themeColor="accent2" w:themeTint="99"/>
        <w:insideV w:val="single" w:sz="2" w:space="0" w:color="4FC3FF" w:themeColor="accent2" w:themeTint="99"/>
      </w:tblBorders>
    </w:tblPr>
    <w:tblStylePr w:type="firstRow">
      <w:rPr>
        <w:b/>
        <w:bCs/>
      </w:rPr>
      <w:tblPr/>
      <w:tcPr>
        <w:tcBorders>
          <w:top w:val="nil"/>
          <w:bottom w:val="single" w:sz="12" w:space="0" w:color="4FC3FF" w:themeColor="accent2" w:themeTint="99"/>
          <w:insideH w:val="nil"/>
          <w:insideV w:val="nil"/>
        </w:tcBorders>
        <w:shd w:val="clear" w:color="auto" w:fill="FFFFFF" w:themeFill="background1"/>
      </w:tcPr>
    </w:tblStylePr>
    <w:tblStylePr w:type="lastRow">
      <w:rPr>
        <w:b/>
        <w:bCs/>
      </w:rPr>
      <w:tblPr/>
      <w:tcPr>
        <w:tcBorders>
          <w:top w:val="double" w:sz="2" w:space="0" w:color="4FC3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AFF" w:themeFill="accent2" w:themeFillTint="33"/>
      </w:tcPr>
    </w:tblStylePr>
    <w:tblStylePr w:type="band1Horz">
      <w:tblPr/>
      <w:tcPr>
        <w:shd w:val="clear" w:color="auto" w:fill="C4EAFF" w:themeFill="accent2" w:themeFillTint="33"/>
      </w:tcPr>
    </w:tblStylePr>
  </w:style>
  <w:style w:type="table" w:styleId="GridTable2-Accent3">
    <w:name w:val="Grid Table 2 Accent 3"/>
    <w:basedOn w:val="TableNormal"/>
    <w:uiPriority w:val="47"/>
    <w:rsid w:val="00235278"/>
    <w:tblPr>
      <w:tblStyleRowBandSize w:val="1"/>
      <w:tblStyleColBandSize w:val="1"/>
      <w:tblBorders>
        <w:top w:val="single" w:sz="2" w:space="0" w:color="F09489" w:themeColor="accent3" w:themeTint="99"/>
        <w:bottom w:val="single" w:sz="2" w:space="0" w:color="F09489" w:themeColor="accent3" w:themeTint="99"/>
        <w:insideH w:val="single" w:sz="2" w:space="0" w:color="F09489" w:themeColor="accent3" w:themeTint="99"/>
        <w:insideV w:val="single" w:sz="2" w:space="0" w:color="F09489" w:themeColor="accent3" w:themeTint="99"/>
      </w:tblBorders>
    </w:tblPr>
    <w:tblStylePr w:type="firstRow">
      <w:rPr>
        <w:b/>
        <w:bCs/>
      </w:rPr>
      <w:tblPr/>
      <w:tcPr>
        <w:tcBorders>
          <w:top w:val="nil"/>
          <w:bottom w:val="single" w:sz="12" w:space="0" w:color="F09489" w:themeColor="accent3" w:themeTint="99"/>
          <w:insideH w:val="nil"/>
          <w:insideV w:val="nil"/>
        </w:tcBorders>
        <w:shd w:val="clear" w:color="auto" w:fill="FFFFFF" w:themeFill="background1"/>
      </w:tcPr>
    </w:tblStylePr>
    <w:tblStylePr w:type="lastRow">
      <w:rPr>
        <w:b/>
        <w:bCs/>
      </w:rPr>
      <w:tblPr/>
      <w:tcPr>
        <w:tcBorders>
          <w:top w:val="double" w:sz="2" w:space="0" w:color="F094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7" w:themeFill="accent3" w:themeFillTint="33"/>
      </w:tcPr>
    </w:tblStylePr>
    <w:tblStylePr w:type="band1Horz">
      <w:tblPr/>
      <w:tcPr>
        <w:shd w:val="clear" w:color="auto" w:fill="FADBD7" w:themeFill="accent3" w:themeFillTint="33"/>
      </w:tcPr>
    </w:tblStylePr>
  </w:style>
  <w:style w:type="table" w:styleId="GridTable3">
    <w:name w:val="Grid Table 3"/>
    <w:basedOn w:val="TableNormal"/>
    <w:uiPriority w:val="48"/>
    <w:rsid w:val="00235278"/>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insideV w:val="single" w:sz="4" w:space="0" w:color="6897D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CF4" w:themeFill="text1" w:themeFillTint="33"/>
      </w:tcPr>
    </w:tblStylePr>
    <w:tblStylePr w:type="band1Horz">
      <w:tblPr/>
      <w:tcPr>
        <w:shd w:val="clear" w:color="auto" w:fill="CCDCF4" w:themeFill="text1" w:themeFillTint="33"/>
      </w:tcPr>
    </w:tblStylePr>
    <w:tblStylePr w:type="neCell">
      <w:tblPr/>
      <w:tcPr>
        <w:tcBorders>
          <w:bottom w:val="single" w:sz="4" w:space="0" w:color="6897DE" w:themeColor="text1" w:themeTint="99"/>
        </w:tcBorders>
      </w:tcPr>
    </w:tblStylePr>
    <w:tblStylePr w:type="nwCell">
      <w:tblPr/>
      <w:tcPr>
        <w:tcBorders>
          <w:bottom w:val="single" w:sz="4" w:space="0" w:color="6897DE" w:themeColor="text1" w:themeTint="99"/>
        </w:tcBorders>
      </w:tcPr>
    </w:tblStylePr>
    <w:tblStylePr w:type="seCell">
      <w:tblPr/>
      <w:tcPr>
        <w:tcBorders>
          <w:top w:val="single" w:sz="4" w:space="0" w:color="6897DE" w:themeColor="text1" w:themeTint="99"/>
        </w:tcBorders>
      </w:tcPr>
    </w:tblStylePr>
    <w:tblStylePr w:type="swCell">
      <w:tblPr/>
      <w:tcPr>
        <w:tcBorders>
          <w:top w:val="single" w:sz="4" w:space="0" w:color="6897DE" w:themeColor="text1" w:themeTint="99"/>
        </w:tcBorders>
      </w:tcPr>
    </w:tblStylePr>
  </w:style>
  <w:style w:type="paragraph" w:styleId="Header">
    <w:name w:val="header"/>
    <w:basedOn w:val="Normal"/>
    <w:link w:val="HeaderChar"/>
    <w:uiPriority w:val="99"/>
    <w:unhideWhenUsed/>
    <w:rsid w:val="00C16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930"/>
    <w:rPr>
      <w:sz w:val="20"/>
      <w:lang w:val="en-GB"/>
    </w:rPr>
  </w:style>
  <w:style w:type="paragraph" w:styleId="Footer">
    <w:name w:val="footer"/>
    <w:basedOn w:val="Normal"/>
    <w:link w:val="FooterChar"/>
    <w:uiPriority w:val="99"/>
    <w:unhideWhenUsed/>
    <w:rsid w:val="00C16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930"/>
    <w:rPr>
      <w:sz w:val="20"/>
      <w:lang w:val="en-GB"/>
    </w:rPr>
  </w:style>
  <w:style w:type="paragraph" w:styleId="BalloonText">
    <w:name w:val="Balloon Text"/>
    <w:basedOn w:val="Normal"/>
    <w:link w:val="BalloonTextChar"/>
    <w:uiPriority w:val="99"/>
    <w:semiHidden/>
    <w:unhideWhenUsed/>
    <w:rsid w:val="00A861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6113"/>
    <w:rPr>
      <w:rFonts w:ascii="Times New Roman" w:hAnsi="Times New Roman" w:cs="Times New Roman"/>
      <w:sz w:val="18"/>
      <w:szCs w:val="18"/>
      <w:lang w:val="en-GB"/>
    </w:rPr>
  </w:style>
  <w:style w:type="character" w:styleId="PageNumber">
    <w:name w:val="page number"/>
    <w:basedOn w:val="DefaultParagraphFont"/>
    <w:uiPriority w:val="99"/>
    <w:semiHidden/>
    <w:unhideWhenUsed/>
    <w:rsid w:val="00660712"/>
  </w:style>
  <w:style w:type="character" w:styleId="Hyperlink">
    <w:name w:val="Hyperlink"/>
    <w:basedOn w:val="DefaultParagraphFont"/>
    <w:uiPriority w:val="99"/>
    <w:unhideWhenUsed/>
    <w:rsid w:val="0053548B"/>
    <w:rPr>
      <w:color w:val="2459A9" w:themeColor="text1"/>
      <w:u w:val="single"/>
    </w:rPr>
  </w:style>
  <w:style w:type="paragraph" w:styleId="Title">
    <w:name w:val="Title"/>
    <w:basedOn w:val="Normal"/>
    <w:next w:val="Normal"/>
    <w:link w:val="TitleChar"/>
    <w:uiPriority w:val="10"/>
    <w:qFormat/>
    <w:rsid w:val="0053548B"/>
    <w:pPr>
      <w:spacing w:after="0" w:line="240" w:lineRule="auto"/>
      <w:contextualSpacing/>
    </w:pPr>
    <w:rPr>
      <w:rFonts w:asciiTheme="majorHAnsi" w:eastAsiaTheme="majorEastAsia" w:hAnsiTheme="majorHAnsi" w:cstheme="majorBidi"/>
      <w:b/>
      <w:color w:val="2459A9" w:themeColor="text1"/>
      <w:spacing w:val="-10"/>
      <w:kern w:val="28"/>
      <w:sz w:val="48"/>
      <w:szCs w:val="56"/>
    </w:rPr>
  </w:style>
  <w:style w:type="character" w:customStyle="1" w:styleId="TitleChar">
    <w:name w:val="Title Char"/>
    <w:basedOn w:val="DefaultParagraphFont"/>
    <w:link w:val="Title"/>
    <w:uiPriority w:val="10"/>
    <w:rsid w:val="0053548B"/>
    <w:rPr>
      <w:rFonts w:asciiTheme="majorHAnsi" w:eastAsiaTheme="majorEastAsia" w:hAnsiTheme="majorHAnsi" w:cstheme="majorBidi"/>
      <w:b/>
      <w:color w:val="2459A9" w:themeColor="text1"/>
      <w:spacing w:val="-10"/>
      <w:kern w:val="28"/>
      <w:sz w:val="48"/>
      <w:szCs w:val="56"/>
      <w:lang w:val="en-GB"/>
    </w:rPr>
  </w:style>
  <w:style w:type="paragraph" w:styleId="TOC1">
    <w:name w:val="toc 1"/>
    <w:basedOn w:val="Normal"/>
    <w:next w:val="Normal"/>
    <w:autoRedefine/>
    <w:uiPriority w:val="39"/>
    <w:unhideWhenUsed/>
    <w:rsid w:val="00A46EA6"/>
    <w:pPr>
      <w:spacing w:before="120" w:after="0"/>
    </w:pPr>
    <w:rPr>
      <w:rFonts w:cstheme="minorHAnsi"/>
      <w:b/>
      <w:bCs/>
      <w:iCs/>
      <w:sz w:val="24"/>
    </w:rPr>
  </w:style>
  <w:style w:type="paragraph" w:styleId="TOC2">
    <w:name w:val="toc 2"/>
    <w:basedOn w:val="Normal"/>
    <w:next w:val="Normal"/>
    <w:autoRedefine/>
    <w:uiPriority w:val="39"/>
    <w:unhideWhenUsed/>
    <w:rsid w:val="004913F4"/>
    <w:pPr>
      <w:spacing w:before="120" w:after="0"/>
      <w:ind w:left="200"/>
    </w:pPr>
    <w:rPr>
      <w:rFonts w:cstheme="minorHAnsi"/>
      <w:b/>
      <w:bCs/>
      <w:szCs w:val="22"/>
    </w:rPr>
  </w:style>
  <w:style w:type="paragraph" w:styleId="TOC3">
    <w:name w:val="toc 3"/>
    <w:basedOn w:val="Normal"/>
    <w:next w:val="Normal"/>
    <w:autoRedefine/>
    <w:uiPriority w:val="39"/>
    <w:unhideWhenUsed/>
    <w:rsid w:val="00A46EA6"/>
    <w:pPr>
      <w:spacing w:before="120" w:after="0"/>
      <w:ind w:left="403"/>
    </w:pPr>
    <w:rPr>
      <w:rFonts w:cstheme="minorHAnsi"/>
      <w:szCs w:val="20"/>
    </w:rPr>
  </w:style>
  <w:style w:type="paragraph" w:styleId="TOC4">
    <w:name w:val="toc 4"/>
    <w:basedOn w:val="Normal"/>
    <w:next w:val="Normal"/>
    <w:autoRedefine/>
    <w:uiPriority w:val="39"/>
    <w:unhideWhenUsed/>
    <w:rsid w:val="004913F4"/>
    <w:pPr>
      <w:spacing w:after="0"/>
      <w:ind w:left="600"/>
    </w:pPr>
    <w:rPr>
      <w:rFonts w:cstheme="minorHAnsi"/>
      <w:szCs w:val="20"/>
    </w:rPr>
  </w:style>
  <w:style w:type="paragraph" w:styleId="TOC5">
    <w:name w:val="toc 5"/>
    <w:basedOn w:val="Normal"/>
    <w:next w:val="Normal"/>
    <w:autoRedefine/>
    <w:uiPriority w:val="39"/>
    <w:unhideWhenUsed/>
    <w:rsid w:val="004913F4"/>
    <w:pPr>
      <w:spacing w:after="0"/>
      <w:ind w:left="800"/>
    </w:pPr>
    <w:rPr>
      <w:rFonts w:cstheme="minorHAnsi"/>
      <w:szCs w:val="20"/>
    </w:rPr>
  </w:style>
  <w:style w:type="paragraph" w:styleId="TOC6">
    <w:name w:val="toc 6"/>
    <w:basedOn w:val="Normal"/>
    <w:next w:val="Normal"/>
    <w:autoRedefine/>
    <w:uiPriority w:val="39"/>
    <w:unhideWhenUsed/>
    <w:rsid w:val="004913F4"/>
    <w:pPr>
      <w:spacing w:after="0"/>
      <w:ind w:left="1000"/>
    </w:pPr>
    <w:rPr>
      <w:rFonts w:cstheme="minorHAnsi"/>
      <w:szCs w:val="20"/>
    </w:rPr>
  </w:style>
  <w:style w:type="paragraph" w:styleId="TOC7">
    <w:name w:val="toc 7"/>
    <w:basedOn w:val="Normal"/>
    <w:next w:val="Normal"/>
    <w:autoRedefine/>
    <w:uiPriority w:val="39"/>
    <w:unhideWhenUsed/>
    <w:rsid w:val="004913F4"/>
    <w:pPr>
      <w:spacing w:after="0"/>
      <w:ind w:left="1200"/>
    </w:pPr>
    <w:rPr>
      <w:rFonts w:cstheme="minorHAnsi"/>
      <w:szCs w:val="20"/>
    </w:rPr>
  </w:style>
  <w:style w:type="paragraph" w:styleId="TOC8">
    <w:name w:val="toc 8"/>
    <w:basedOn w:val="Normal"/>
    <w:next w:val="Normal"/>
    <w:autoRedefine/>
    <w:uiPriority w:val="39"/>
    <w:unhideWhenUsed/>
    <w:rsid w:val="004913F4"/>
    <w:pPr>
      <w:spacing w:after="0"/>
      <w:ind w:left="1400"/>
    </w:pPr>
    <w:rPr>
      <w:rFonts w:cstheme="minorHAnsi"/>
      <w:szCs w:val="20"/>
    </w:rPr>
  </w:style>
  <w:style w:type="paragraph" w:styleId="TOC9">
    <w:name w:val="toc 9"/>
    <w:basedOn w:val="Normal"/>
    <w:next w:val="Normal"/>
    <w:autoRedefine/>
    <w:uiPriority w:val="39"/>
    <w:unhideWhenUsed/>
    <w:rsid w:val="004913F4"/>
    <w:pPr>
      <w:spacing w:after="0"/>
      <w:ind w:left="1600"/>
    </w:pPr>
    <w:rPr>
      <w:rFonts w:cstheme="minorHAnsi"/>
      <w:szCs w:val="20"/>
    </w:rPr>
  </w:style>
  <w:style w:type="table" w:styleId="TableGridLight">
    <w:name w:val="Grid Table Light"/>
    <w:aliases w:val="VCGLR table 2"/>
    <w:basedOn w:val="TableNormal"/>
    <w:uiPriority w:val="40"/>
    <w:rsid w:val="000849DB"/>
    <w:rPr>
      <w:lang w:val="en-GB"/>
    </w:rPr>
    <w:tblPr>
      <w:tbl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blBorders>
    </w:tblPr>
    <w:tblStylePr w:type="firstRow">
      <w:tblPr/>
      <w:tcPr>
        <w:shd w:val="clear" w:color="auto" w:fill="CCDCF4" w:themeFill="text1" w:themeFillTint="33"/>
      </w:tcPr>
    </w:tblStylePr>
  </w:style>
  <w:style w:type="paragraph" w:styleId="BodyText">
    <w:name w:val="Body Text"/>
    <w:link w:val="BodyTextChar"/>
    <w:rsid w:val="000849DB"/>
    <w:pPr>
      <w:spacing w:before="120" w:after="120"/>
      <w:ind w:left="794"/>
      <w:jc w:val="both"/>
    </w:pPr>
    <w:rPr>
      <w:rFonts w:ascii="Arial" w:eastAsia="Times New Roman" w:hAnsi="Arial" w:cs="Arial"/>
      <w:sz w:val="20"/>
    </w:rPr>
  </w:style>
  <w:style w:type="character" w:customStyle="1" w:styleId="BodyTextChar">
    <w:name w:val="Body Text Char"/>
    <w:basedOn w:val="DefaultParagraphFont"/>
    <w:link w:val="BodyText"/>
    <w:rsid w:val="000849DB"/>
    <w:rPr>
      <w:rFonts w:ascii="Arial" w:eastAsia="Times New Roman" w:hAnsi="Arial" w:cs="Arial"/>
      <w:sz w:val="20"/>
    </w:rPr>
  </w:style>
  <w:style w:type="paragraph" w:customStyle="1" w:styleId="TableText">
    <w:name w:val="Table Text"/>
    <w:rsid w:val="0034618A"/>
    <w:pPr>
      <w:spacing w:before="40" w:after="40"/>
    </w:pPr>
    <w:rPr>
      <w:rFonts w:ascii="Arial" w:eastAsia="Times New Roman" w:hAnsi="Arial" w:cs="Arial"/>
      <w:sz w:val="18"/>
      <w:szCs w:val="18"/>
    </w:rPr>
  </w:style>
  <w:style w:type="paragraph" w:customStyle="1" w:styleId="TableHeader0">
    <w:name w:val="Table Header"/>
    <w:rsid w:val="0034618A"/>
    <w:pPr>
      <w:keepNext/>
      <w:spacing w:before="60" w:after="20"/>
    </w:pPr>
    <w:rPr>
      <w:rFonts w:ascii="Arial Bold" w:eastAsia="Times New Roman" w:hAnsi="Arial Bold" w:cs="Arial"/>
      <w:b/>
      <w:color w:val="FFFFFF"/>
      <w:sz w:val="20"/>
      <w:szCs w:val="20"/>
    </w:rPr>
  </w:style>
  <w:style w:type="paragraph" w:customStyle="1" w:styleId="Spacer">
    <w:name w:val="Spacer"/>
    <w:next w:val="BodyText"/>
    <w:rsid w:val="0034618A"/>
    <w:pPr>
      <w:ind w:left="794"/>
    </w:pPr>
    <w:rPr>
      <w:rFonts w:ascii="Arial" w:eastAsia="Times New Roman" w:hAnsi="Arial" w:cs="Arial"/>
      <w:sz w:val="12"/>
      <w:szCs w:val="12"/>
    </w:rPr>
  </w:style>
  <w:style w:type="paragraph" w:styleId="BodyText2">
    <w:name w:val="Body Text 2"/>
    <w:basedOn w:val="Normal"/>
    <w:link w:val="BodyText2Char"/>
    <w:semiHidden/>
    <w:rsid w:val="0034618A"/>
    <w:pPr>
      <w:spacing w:line="480" w:lineRule="auto"/>
      <w:ind w:left="794"/>
    </w:pPr>
    <w:rPr>
      <w:rFonts w:ascii="Arial" w:eastAsia="Times New Roman" w:hAnsi="Arial" w:cs="Arial"/>
      <w:color w:val="FF0000"/>
      <w:szCs w:val="20"/>
      <w:u w:val="single"/>
      <w:lang w:val="en-AU"/>
    </w:rPr>
  </w:style>
  <w:style w:type="character" w:customStyle="1" w:styleId="BodyText2Char">
    <w:name w:val="Body Text 2 Char"/>
    <w:basedOn w:val="DefaultParagraphFont"/>
    <w:link w:val="BodyText2"/>
    <w:semiHidden/>
    <w:rsid w:val="0034618A"/>
    <w:rPr>
      <w:rFonts w:ascii="Arial" w:eastAsia="Times New Roman" w:hAnsi="Arial" w:cs="Arial"/>
      <w:color w:val="FF0000"/>
      <w:sz w:val="20"/>
      <w:szCs w:val="20"/>
      <w:u w:val="single"/>
    </w:rPr>
  </w:style>
  <w:style w:type="character" w:styleId="FootnoteReference">
    <w:name w:val="footnote reference"/>
    <w:rsid w:val="0034618A"/>
    <w:rPr>
      <w:rFonts w:ascii="Arial" w:hAnsi="Arial" w:cs="Arial"/>
      <w:sz w:val="16"/>
      <w:vertAlign w:val="superscript"/>
    </w:rPr>
  </w:style>
  <w:style w:type="paragraph" w:styleId="BodyTextIndent3">
    <w:name w:val="Body Text Indent 3"/>
    <w:basedOn w:val="Normal"/>
    <w:link w:val="BodyTextIndent3Char"/>
    <w:semiHidden/>
    <w:rsid w:val="0034618A"/>
    <w:pPr>
      <w:spacing w:line="240" w:lineRule="auto"/>
      <w:ind w:left="283"/>
    </w:pPr>
    <w:rPr>
      <w:rFonts w:ascii="Times New Roman" w:eastAsia="Times New Roman" w:hAnsi="Times New Roman" w:cs="Times New Roman"/>
      <w:sz w:val="24"/>
      <w:szCs w:val="16"/>
      <w:u w:val="single"/>
      <w:lang w:val="en-AU"/>
    </w:rPr>
  </w:style>
  <w:style w:type="character" w:customStyle="1" w:styleId="BodyTextIndent3Char">
    <w:name w:val="Body Text Indent 3 Char"/>
    <w:basedOn w:val="DefaultParagraphFont"/>
    <w:link w:val="BodyTextIndent3"/>
    <w:semiHidden/>
    <w:rsid w:val="0034618A"/>
    <w:rPr>
      <w:rFonts w:ascii="Times New Roman" w:eastAsia="Times New Roman" w:hAnsi="Times New Roman" w:cs="Times New Roman"/>
      <w:szCs w:val="16"/>
      <w:u w:val="single"/>
    </w:rPr>
  </w:style>
  <w:style w:type="paragraph" w:customStyle="1" w:styleId="Heading-notinTOC">
    <w:name w:val="Heading - not in TOC"/>
    <w:next w:val="BodyText"/>
    <w:rsid w:val="0034618A"/>
    <w:pPr>
      <w:keepNext/>
      <w:spacing w:before="240" w:after="240"/>
    </w:pPr>
    <w:rPr>
      <w:rFonts w:ascii="Arial" w:eastAsia="Times New Roman" w:hAnsi="Arial" w:cs="Arial"/>
      <w:color w:val="003F5F"/>
      <w:sz w:val="28"/>
      <w:szCs w:val="28"/>
    </w:rPr>
  </w:style>
  <w:style w:type="paragraph" w:customStyle="1" w:styleId="DraftHeading1">
    <w:name w:val="Draft Heading 1"/>
    <w:basedOn w:val="Normal"/>
    <w:next w:val="Normal"/>
    <w:rsid w:val="0034618A"/>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lang w:val="en-AU"/>
    </w:rPr>
  </w:style>
  <w:style w:type="paragraph" w:customStyle="1" w:styleId="DraftHeading3">
    <w:name w:val="Draft Heading 3"/>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MajorHeading">
    <w:name w:val="Major Heading"/>
    <w:basedOn w:val="Heading1"/>
    <w:link w:val="MajorHeadingChar"/>
    <w:qFormat/>
    <w:rsid w:val="0034618A"/>
    <w:pPr>
      <w:keepLines w:val="0"/>
      <w:spacing w:after="60" w:line="240" w:lineRule="auto"/>
    </w:pPr>
    <w:rPr>
      <w:rFonts w:ascii="Arial Bold" w:eastAsia="Times New Roman" w:hAnsi="Arial Bold" w:cs="Arial"/>
      <w:color w:val="003F5F"/>
      <w:sz w:val="30"/>
      <w:szCs w:val="36"/>
      <w:lang w:val="en-AU"/>
    </w:rPr>
  </w:style>
  <w:style w:type="character" w:customStyle="1" w:styleId="MajorHeadingChar">
    <w:name w:val="Major Heading Char"/>
    <w:basedOn w:val="Heading1Char"/>
    <w:link w:val="MajorHeading"/>
    <w:rsid w:val="0034618A"/>
    <w:rPr>
      <w:rFonts w:ascii="Arial Bold" w:eastAsia="Times New Roman" w:hAnsi="Arial Bold" w:cs="Arial"/>
      <w:b/>
      <w:color w:val="003F5F"/>
      <w:sz w:val="30"/>
      <w:szCs w:val="36"/>
    </w:rPr>
  </w:style>
  <w:style w:type="paragraph" w:customStyle="1" w:styleId="DraftHeading4">
    <w:name w:val="Draft Heading 4"/>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Heading5">
    <w:name w:val="Draft Heading 5"/>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Definition2">
    <w:name w:val="Draft Definition 2"/>
    <w:next w:val="Normal"/>
    <w:rsid w:val="0034618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Cs w:val="20"/>
    </w:rPr>
  </w:style>
  <w:style w:type="paragraph" w:customStyle="1" w:styleId="DraftHeading2">
    <w:name w:val="Draft Heading 2"/>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NewFormHeading">
    <w:name w:val="New Form Heading"/>
    <w:next w:val="Normal"/>
    <w:link w:val="NewFormHeadingChar"/>
    <w:autoRedefine/>
    <w:qFormat/>
    <w:rsid w:val="0034618A"/>
    <w:pPr>
      <w:spacing w:before="120" w:after="120"/>
      <w:jc w:val="center"/>
    </w:pPr>
    <w:rPr>
      <w:rFonts w:ascii="Times New Roman" w:eastAsiaTheme="minorEastAsia" w:hAnsi="Times New Roman"/>
      <w:b/>
      <w:caps/>
      <w:sz w:val="22"/>
      <w:szCs w:val="22"/>
    </w:rPr>
  </w:style>
  <w:style w:type="character" w:customStyle="1" w:styleId="NewFormHeadingChar">
    <w:name w:val="New Form Heading Char"/>
    <w:basedOn w:val="DefaultParagraphFont"/>
    <w:link w:val="NewFormHeading"/>
    <w:rsid w:val="0034618A"/>
    <w:rPr>
      <w:rFonts w:ascii="Times New Roman" w:eastAsiaTheme="minorEastAsia" w:hAnsi="Times New Roman"/>
      <w:b/>
      <w:caps/>
      <w:sz w:val="22"/>
      <w:szCs w:val="22"/>
    </w:rPr>
  </w:style>
  <w:style w:type="table" w:styleId="ListTable3">
    <w:name w:val="List Table 3"/>
    <w:basedOn w:val="TableNormal"/>
    <w:uiPriority w:val="48"/>
    <w:rsid w:val="0034618A"/>
    <w:tblPr>
      <w:tblStyleRowBandSize w:val="1"/>
      <w:tblStyleColBandSize w:val="1"/>
      <w:tblBorders>
        <w:top w:val="single" w:sz="4" w:space="0" w:color="2459A9" w:themeColor="text1"/>
        <w:left w:val="single" w:sz="4" w:space="0" w:color="2459A9" w:themeColor="text1"/>
        <w:bottom w:val="single" w:sz="4" w:space="0" w:color="2459A9" w:themeColor="text1"/>
        <w:right w:val="single" w:sz="4" w:space="0" w:color="2459A9" w:themeColor="text1"/>
      </w:tblBorders>
    </w:tblPr>
    <w:tblStylePr w:type="firstRow">
      <w:rPr>
        <w:b/>
        <w:bCs/>
        <w:color w:val="FFFFFF" w:themeColor="background1"/>
      </w:rPr>
      <w:tblPr/>
      <w:tcPr>
        <w:shd w:val="clear" w:color="auto" w:fill="2459A9" w:themeFill="text1"/>
      </w:tcPr>
    </w:tblStylePr>
    <w:tblStylePr w:type="lastRow">
      <w:rPr>
        <w:b/>
        <w:bCs/>
      </w:rPr>
      <w:tblPr/>
      <w:tcPr>
        <w:tcBorders>
          <w:top w:val="double" w:sz="4" w:space="0" w:color="2459A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59A9" w:themeColor="text1"/>
          <w:right w:val="single" w:sz="4" w:space="0" w:color="2459A9" w:themeColor="text1"/>
        </w:tcBorders>
      </w:tcPr>
    </w:tblStylePr>
    <w:tblStylePr w:type="band1Horz">
      <w:tblPr/>
      <w:tcPr>
        <w:tcBorders>
          <w:top w:val="single" w:sz="4" w:space="0" w:color="2459A9" w:themeColor="text1"/>
          <w:bottom w:val="single" w:sz="4" w:space="0" w:color="2459A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59A9" w:themeColor="text1"/>
          <w:left w:val="nil"/>
        </w:tcBorders>
      </w:tcPr>
    </w:tblStylePr>
    <w:tblStylePr w:type="swCell">
      <w:tblPr/>
      <w:tcPr>
        <w:tcBorders>
          <w:top w:val="double" w:sz="4" w:space="0" w:color="2459A9" w:themeColor="text1"/>
          <w:right w:val="nil"/>
        </w:tcBorders>
      </w:tcPr>
    </w:tblStylePr>
  </w:style>
  <w:style w:type="character" w:styleId="UnresolvedMention">
    <w:name w:val="Unresolved Mention"/>
    <w:basedOn w:val="DefaultParagraphFont"/>
    <w:uiPriority w:val="99"/>
    <w:semiHidden/>
    <w:unhideWhenUsed/>
    <w:rsid w:val="00CB7435"/>
    <w:rPr>
      <w:color w:val="605E5C"/>
      <w:shd w:val="clear" w:color="auto" w:fill="E1DFDD"/>
    </w:rPr>
  </w:style>
  <w:style w:type="character" w:styleId="FollowedHyperlink">
    <w:name w:val="FollowedHyperlink"/>
    <w:basedOn w:val="DefaultParagraphFont"/>
    <w:uiPriority w:val="99"/>
    <w:semiHidden/>
    <w:unhideWhenUsed/>
    <w:rsid w:val="00345FDC"/>
    <w:rPr>
      <w:color w:val="003F54" w:themeColor="followedHyperlink"/>
      <w:u w:val="single"/>
    </w:rPr>
  </w:style>
  <w:style w:type="paragraph" w:customStyle="1" w:styleId="TableText-ListItalics">
    <w:name w:val="Table Text - List Italics"/>
    <w:rsid w:val="004C7E37"/>
    <w:pPr>
      <w:numPr>
        <w:numId w:val="46"/>
      </w:numPr>
      <w:spacing w:before="60" w:after="60"/>
    </w:pPr>
    <w:rPr>
      <w:rFonts w:ascii="Arial" w:eastAsia="Times" w:hAnsi="Arial" w:cs="Arial"/>
      <w:i/>
      <w:kern w:val="22"/>
      <w:sz w:val="18"/>
      <w:szCs w:val="18"/>
    </w:rPr>
  </w:style>
  <w:style w:type="paragraph" w:customStyle="1" w:styleId="Reporttitle">
    <w:name w:val="Report title"/>
    <w:next w:val="BodyText"/>
    <w:rsid w:val="004C7E37"/>
    <w:pPr>
      <w:spacing w:before="120" w:after="240"/>
      <w:ind w:left="369"/>
      <w:contextualSpacing/>
    </w:pPr>
    <w:rPr>
      <w:rFonts w:ascii="Arial" w:eastAsia="Times" w:hAnsi="Arial" w:cs="Arial"/>
      <w:b/>
      <w:color w:val="2459A9" w:themeColor="text1"/>
      <w:sz w:val="56"/>
      <w:szCs w:val="9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vcglr.vic.gov.a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vcglr.vic.gov.a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vcglr.vic.gov.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cglr.vic.gov.a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CGLR 2020 new branding palette">
      <a:dk1>
        <a:srgbClr val="2459A9"/>
      </a:dk1>
      <a:lt1>
        <a:srgbClr val="FFFFFF"/>
      </a:lt1>
      <a:dk2>
        <a:srgbClr val="262B67"/>
      </a:dk2>
      <a:lt2>
        <a:srgbClr val="FFFFFF"/>
      </a:lt2>
      <a:accent1>
        <a:srgbClr val="3CAE49"/>
      </a:accent1>
      <a:accent2>
        <a:srgbClr val="0090DA"/>
      </a:accent2>
      <a:accent3>
        <a:srgbClr val="E74F3C"/>
      </a:accent3>
      <a:accent4>
        <a:srgbClr val="68478D"/>
      </a:accent4>
      <a:accent5>
        <a:srgbClr val="007481"/>
      </a:accent5>
      <a:accent6>
        <a:srgbClr val="470A68"/>
      </a:accent6>
      <a:hlink>
        <a:srgbClr val="004C97"/>
      </a:hlink>
      <a:folHlink>
        <a:srgbClr val="003F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53FBA095D8A47A0CA82DED681F0B8" ma:contentTypeVersion="17" ma:contentTypeDescription="Create a new document." ma:contentTypeScope="" ma:versionID="d7a01096ededa6a3987b0cab4cf869b5">
  <xsd:schema xmlns:xsd="http://www.w3.org/2001/XMLSchema" xmlns:xs="http://www.w3.org/2001/XMLSchema" xmlns:p="http://schemas.microsoft.com/office/2006/metadata/properties" xmlns:ns1="http://schemas.microsoft.com/sharepoint/v3" xmlns:ns2="1bbbfa57-78bd-4502-b4ac-d5b605b52693" xmlns:ns3="236b3a9f-a140-4b1e-93e8-cdba4b02ab7f" xmlns:ns4="5075fe6d-13fd-4ece-bf86-dfe19fa3f61c" targetNamespace="http://schemas.microsoft.com/office/2006/metadata/properties" ma:root="true" ma:fieldsID="25c9f5cc5eb8c95bc5bed42d8a11f5ef" ns1:_="" ns2:_="" ns3:_="" ns4:_="">
    <xsd:import namespace="http://schemas.microsoft.com/sharepoint/v3"/>
    <xsd:import namespace="1bbbfa57-78bd-4502-b4ac-d5b605b52693"/>
    <xsd:import namespace="236b3a9f-a140-4b1e-93e8-cdba4b02ab7f"/>
    <xsd:import namespace="5075fe6d-13fd-4ece-bf86-dfe19fa3f6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3:k7635a9acc204deaa2fb1368d6ffe404" minOccurs="0"/>
                <xsd:element ref="ns1:_ip_UnifiedCompliancePolicyProperties" minOccurs="0"/>
                <xsd:element ref="ns1:_ip_UnifiedCompliancePolicyUIAction" minOccurs="0"/>
                <xsd:element ref="ns4:_dlc_DocId" minOccurs="0"/>
                <xsd:element ref="ns4:_dlc_DocIdUrl" minOccurs="0"/>
                <xsd:element ref="ns4:_dlc_DocIdPersistId"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bfa57-78bd-4502-b4ac-d5b605b52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b19950-0ea3-4d3a-9120-e673673a55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b3a9f-a140-4b1e-93e8-cdba4b02ab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d89a04-63ad-4688-b308-c81d7dbc080e}" ma:internalName="TaxCatchAll" ma:showField="CatchAllData" ma:web="5075fe6d-13fd-4ece-bf86-dfe19fa3f61c">
      <xsd:complexType>
        <xsd:complexContent>
          <xsd:extension base="dms:MultiChoiceLookup">
            <xsd:sequence>
              <xsd:element name="Value" type="dms:Lookup" maxOccurs="unbounded" minOccurs="0" nillable="true"/>
            </xsd:sequence>
          </xsd:extension>
        </xsd:complexContent>
      </xsd:complexType>
    </xsd:element>
    <xsd:element name="k7635a9acc204deaa2fb1368d6ffe404" ma:index="20" nillable="true" ma:taxonomy="true" ma:internalName="k7635a9acc204deaa2fb1368d6ffe404" ma:taxonomyFieldName="BCS" ma:displayName="BCS" ma:indexed="true" ma:default="15;#Unclassified|1bd2f106-ce50-4f92-9580-2ba01857d201" ma:fieldId="{47635a9a-cc20-4dea-a2fb-1368d6ffe404}" ma:sspId="d8b19950-0ea3-4d3a-9120-e673673a55cb" ma:termSetId="09d5a374-7d7e-4ba4-9180-5dc3c3e4e0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5fe6d-13fd-4ece-bf86-dfe19fa3f6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F1312-EF99-4223-8F5B-6C0CAFD44DAD}">
  <ds:schemaRefs>
    <ds:schemaRef ds:uri="http://schemas.openxmlformats.org/officeDocument/2006/bibliography"/>
  </ds:schemaRefs>
</ds:datastoreItem>
</file>

<file path=customXml/itemProps2.xml><?xml version="1.0" encoding="utf-8"?>
<ds:datastoreItem xmlns:ds="http://schemas.openxmlformats.org/officeDocument/2006/customXml" ds:itemID="{9B17225C-D00A-4C22-9862-428E328BD4B4}"/>
</file>

<file path=customXml/itemProps3.xml><?xml version="1.0" encoding="utf-8"?>
<ds:datastoreItem xmlns:ds="http://schemas.openxmlformats.org/officeDocument/2006/customXml" ds:itemID="{6D6D7447-3102-4AC4-8521-79C060A7B571}"/>
</file>

<file path=customXml/itemProps4.xml><?xml version="1.0" encoding="utf-8"?>
<ds:datastoreItem xmlns:ds="http://schemas.openxmlformats.org/officeDocument/2006/customXml" ds:itemID="{09581BFE-E140-4437-B41D-3AB464133556}"/>
</file>

<file path=docProps/app.xml><?xml version="1.0" encoding="utf-8"?>
<Properties xmlns="http://schemas.openxmlformats.org/officeDocument/2006/extended-properties" xmlns:vt="http://schemas.openxmlformats.org/officeDocument/2006/docPropsVTypes">
  <Template>Normal</Template>
  <TotalTime>1</TotalTime>
  <Pages>23</Pages>
  <Words>5396</Words>
  <Characters>28063</Characters>
  <Application>Microsoft Office Word</Application>
  <DocSecurity>0</DocSecurity>
  <Lines>652</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 Appendix Version 2.0.docx</dc:title>
  <dc:subject/>
  <dc:creator>Tracy Shen</dc:creator>
  <cp:keywords/>
  <dc:description/>
  <cp:lastModifiedBy>Ashley Mudgway</cp:lastModifiedBy>
  <cp:revision>2</cp:revision>
  <dcterms:created xsi:type="dcterms:W3CDTF">2020-12-07T03:41:00Z</dcterms:created>
  <dcterms:modified xsi:type="dcterms:W3CDTF">2020-12-07T03:41:00Z</dcterms:modified>
</cp:coreProperties>
</file>